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37D44" w14:textId="77777777" w:rsidR="003C2342" w:rsidRDefault="003C2342" w:rsidP="006C35C6">
      <w:pPr>
        <w:jc w:val="both"/>
        <w:rPr>
          <w:rFonts w:ascii="Century Gothic" w:hAnsi="Century Gothic"/>
          <w:b/>
          <w:bCs/>
        </w:rPr>
      </w:pPr>
    </w:p>
    <w:p w14:paraId="76A8E72D" w14:textId="4B405040" w:rsidR="006C35C6" w:rsidRDefault="006C35C6" w:rsidP="003C2342">
      <w:pPr>
        <w:jc w:val="right"/>
        <w:rPr>
          <w:rFonts w:ascii="Century Gothic" w:hAnsi="Century Gothic"/>
          <w:b/>
          <w:bCs/>
        </w:rPr>
      </w:pPr>
      <w:r w:rsidRPr="006C35C6">
        <w:rPr>
          <w:rFonts w:ascii="Century Gothic" w:hAnsi="Century Gothic"/>
          <w:b/>
          <w:bCs/>
        </w:rPr>
        <w:t xml:space="preserve">PARECER JURÍDICO Nº </w:t>
      </w:r>
      <w:r w:rsidRPr="006C35C6">
        <w:rPr>
          <w:rFonts w:ascii="Century Gothic" w:hAnsi="Century Gothic"/>
          <w:b/>
          <w:bCs/>
        </w:rPr>
        <w:t>01/2025</w:t>
      </w:r>
    </w:p>
    <w:p w14:paraId="2DD4CA96" w14:textId="77777777" w:rsidR="003C2342" w:rsidRPr="006C35C6" w:rsidRDefault="003C2342" w:rsidP="006C35C6">
      <w:pPr>
        <w:jc w:val="both"/>
        <w:rPr>
          <w:rFonts w:ascii="Century Gothic" w:hAnsi="Century Gothic"/>
        </w:rPr>
      </w:pPr>
    </w:p>
    <w:p w14:paraId="6667FCA3" w14:textId="3E53EB8E" w:rsidR="002C1AF5" w:rsidRDefault="006C35C6" w:rsidP="006C35C6">
      <w:pPr>
        <w:pStyle w:val="SemEspaamento"/>
        <w:jc w:val="both"/>
        <w:rPr>
          <w:rFonts w:ascii="Century Gothic" w:hAnsi="Century Gothic"/>
        </w:rPr>
      </w:pPr>
      <w:r w:rsidRPr="006C35C6">
        <w:rPr>
          <w:rFonts w:ascii="Century Gothic" w:hAnsi="Century Gothic"/>
          <w:b/>
          <w:bCs/>
        </w:rPr>
        <w:t>PARA:</w:t>
      </w:r>
      <w:r w:rsidRPr="006C35C6">
        <w:rPr>
          <w:rFonts w:ascii="Century Gothic" w:hAnsi="Century Gothic"/>
        </w:rPr>
        <w:t xml:space="preserve"> Igreja do Evangelho Quadrangular (IEQ) </w:t>
      </w:r>
      <w:r w:rsidRPr="006C35C6">
        <w:rPr>
          <w:rFonts w:ascii="Century Gothic" w:hAnsi="Century Gothic"/>
        </w:rPr>
        <w:t>–</w:t>
      </w:r>
      <w:r w:rsidRPr="006C35C6">
        <w:rPr>
          <w:rFonts w:ascii="Century Gothic" w:hAnsi="Century Gothic"/>
        </w:rPr>
        <w:t xml:space="preserve"> </w:t>
      </w:r>
      <w:r w:rsidRPr="006C35C6">
        <w:rPr>
          <w:rFonts w:ascii="Century Gothic" w:hAnsi="Century Gothic"/>
        </w:rPr>
        <w:t>Rua Conselheiro Nébias, nº 1122</w:t>
      </w:r>
      <w:r w:rsidRPr="006C35C6">
        <w:rPr>
          <w:rFonts w:ascii="Century Gothic" w:hAnsi="Century Gothic"/>
        </w:rPr>
        <w:t xml:space="preserve">, </w:t>
      </w:r>
      <w:r w:rsidRPr="006C35C6">
        <w:rPr>
          <w:rFonts w:ascii="Century Gothic" w:hAnsi="Century Gothic"/>
        </w:rPr>
        <w:t>barra Funda, São Paulo/SP.</w:t>
      </w:r>
    </w:p>
    <w:p w14:paraId="313856AC" w14:textId="67FCC03E" w:rsidR="006C35C6" w:rsidRPr="006C35C6" w:rsidRDefault="006C35C6" w:rsidP="006C35C6">
      <w:pPr>
        <w:pStyle w:val="SemEspaamento"/>
        <w:jc w:val="both"/>
        <w:rPr>
          <w:rFonts w:ascii="Century Gothic" w:hAnsi="Century Gothic"/>
        </w:rPr>
      </w:pPr>
      <w:r w:rsidRPr="006C35C6">
        <w:rPr>
          <w:rFonts w:ascii="Century Gothic" w:hAnsi="Century Gothic"/>
        </w:rPr>
        <w:br/>
      </w:r>
      <w:r w:rsidRPr="006C35C6">
        <w:rPr>
          <w:rFonts w:ascii="Century Gothic" w:hAnsi="Century Gothic"/>
          <w:b/>
          <w:bCs/>
        </w:rPr>
        <w:t>A/C:</w:t>
      </w:r>
      <w:r w:rsidRPr="006C35C6">
        <w:rPr>
          <w:rFonts w:ascii="Century Gothic" w:hAnsi="Century Gothic"/>
        </w:rPr>
        <w:t xml:space="preserve"> Pr. Roberto Ramos </w:t>
      </w:r>
    </w:p>
    <w:p w14:paraId="5B18C9EA" w14:textId="6B7DF7D8" w:rsidR="006C35C6" w:rsidRPr="006C35C6" w:rsidRDefault="006C35C6" w:rsidP="006C35C6">
      <w:pPr>
        <w:pStyle w:val="SemEspaamento"/>
        <w:jc w:val="both"/>
        <w:rPr>
          <w:rFonts w:ascii="Century Gothic" w:hAnsi="Century Gothic"/>
        </w:rPr>
      </w:pPr>
      <w:r w:rsidRPr="006C35C6">
        <w:rPr>
          <w:rFonts w:ascii="Century Gothic" w:hAnsi="Century Gothic"/>
        </w:rPr>
        <w:t>D.D. Diretor Jurídico e;</w:t>
      </w:r>
    </w:p>
    <w:p w14:paraId="62065745" w14:textId="77777777" w:rsidR="003C2342" w:rsidRDefault="006C35C6" w:rsidP="006C35C6">
      <w:pPr>
        <w:pStyle w:val="SemEspaamento"/>
        <w:jc w:val="both"/>
        <w:rPr>
          <w:rFonts w:ascii="Century Gothic" w:hAnsi="Century Gothic"/>
        </w:rPr>
      </w:pPr>
      <w:r w:rsidRPr="006C35C6">
        <w:rPr>
          <w:rFonts w:ascii="Century Gothic" w:hAnsi="Century Gothic"/>
        </w:rPr>
        <w:t xml:space="preserve">Davi Rodrigues </w:t>
      </w:r>
    </w:p>
    <w:p w14:paraId="41D9DB1D" w14:textId="7D0C758B" w:rsidR="002C1AF5" w:rsidRDefault="006C35C6" w:rsidP="003C2342">
      <w:pPr>
        <w:pStyle w:val="SemEspaamento"/>
        <w:rPr>
          <w:rFonts w:ascii="Century Gothic" w:hAnsi="Century Gothic"/>
          <w:b/>
          <w:bCs/>
        </w:rPr>
      </w:pPr>
      <w:r w:rsidRPr="006C35C6">
        <w:rPr>
          <w:rFonts w:ascii="Century Gothic" w:hAnsi="Century Gothic"/>
        </w:rPr>
        <w:t>D.D. Secretário Nacional de Administração e Finanças.</w:t>
      </w:r>
      <w:r w:rsidRPr="006C35C6">
        <w:rPr>
          <w:rFonts w:ascii="Century Gothic" w:hAnsi="Century Gothic"/>
        </w:rPr>
        <w:br/>
      </w:r>
    </w:p>
    <w:p w14:paraId="62148D0B" w14:textId="5DB7BD2D" w:rsidR="006C35C6" w:rsidRPr="006C35C6" w:rsidRDefault="006C35C6" w:rsidP="006C35C6">
      <w:pPr>
        <w:pStyle w:val="SemEspaamento"/>
        <w:jc w:val="both"/>
        <w:rPr>
          <w:rFonts w:ascii="Century Gothic" w:hAnsi="Century Gothic"/>
        </w:rPr>
      </w:pPr>
      <w:r w:rsidRPr="006C35C6">
        <w:rPr>
          <w:rFonts w:ascii="Century Gothic" w:hAnsi="Century Gothic"/>
          <w:b/>
          <w:bCs/>
        </w:rPr>
        <w:t>DE:</w:t>
      </w:r>
      <w:r w:rsidRPr="006C35C6">
        <w:rPr>
          <w:rFonts w:ascii="Century Gothic" w:hAnsi="Century Gothic"/>
        </w:rPr>
        <w:t> Dr. Wellington Silva, OAB/MG 57011</w:t>
      </w:r>
    </w:p>
    <w:p w14:paraId="7AF373F7" w14:textId="77777777" w:rsidR="006C35C6" w:rsidRPr="006C35C6" w:rsidRDefault="006C35C6" w:rsidP="006C35C6">
      <w:pPr>
        <w:pStyle w:val="SemEspaamento"/>
        <w:jc w:val="both"/>
        <w:rPr>
          <w:rFonts w:ascii="Century Gothic" w:hAnsi="Century Gothic"/>
        </w:rPr>
      </w:pPr>
      <w:r w:rsidRPr="006C35C6">
        <w:rPr>
          <w:rFonts w:ascii="Century Gothic" w:hAnsi="Century Gothic"/>
        </w:rPr>
        <w:br/>
      </w:r>
      <w:r w:rsidRPr="006C35C6">
        <w:rPr>
          <w:rFonts w:ascii="Century Gothic" w:hAnsi="Century Gothic"/>
          <w:b/>
          <w:bCs/>
        </w:rPr>
        <w:t>DATA:</w:t>
      </w:r>
      <w:r w:rsidRPr="006C35C6">
        <w:rPr>
          <w:rFonts w:ascii="Century Gothic" w:hAnsi="Century Gothic"/>
        </w:rPr>
        <w:t xml:space="preserve"> 16 de </w:t>
      </w:r>
      <w:proofErr w:type="gramStart"/>
      <w:r w:rsidRPr="006C35C6">
        <w:rPr>
          <w:rFonts w:ascii="Century Gothic" w:hAnsi="Century Gothic"/>
        </w:rPr>
        <w:t>Dezembro</w:t>
      </w:r>
      <w:proofErr w:type="gramEnd"/>
      <w:r w:rsidRPr="006C35C6">
        <w:rPr>
          <w:rFonts w:ascii="Century Gothic" w:hAnsi="Century Gothic"/>
        </w:rPr>
        <w:t xml:space="preserve"> de 2025</w:t>
      </w:r>
    </w:p>
    <w:p w14:paraId="48B9AAC0" w14:textId="4973CFB0" w:rsidR="006C35C6" w:rsidRPr="006C35C6" w:rsidRDefault="006C35C6" w:rsidP="006C35C6">
      <w:pPr>
        <w:pStyle w:val="SemEspaamento"/>
        <w:jc w:val="both"/>
        <w:rPr>
          <w:rFonts w:ascii="Century Gothic" w:hAnsi="Century Gothic"/>
        </w:rPr>
      </w:pPr>
      <w:r w:rsidRPr="006C35C6">
        <w:rPr>
          <w:rFonts w:ascii="Century Gothic" w:hAnsi="Century Gothic"/>
        </w:rPr>
        <w:br/>
      </w:r>
      <w:r w:rsidRPr="006C35C6">
        <w:rPr>
          <w:rFonts w:ascii="Century Gothic" w:hAnsi="Century Gothic"/>
          <w:b/>
          <w:bCs/>
        </w:rPr>
        <w:t>ASSUNTO:</w:t>
      </w:r>
      <w:r w:rsidRPr="006C35C6">
        <w:rPr>
          <w:rFonts w:ascii="Century Gothic" w:hAnsi="Century Gothic"/>
        </w:rPr>
        <w:t> Análise da Imunidade Tributária da IEQ face à Emenda Constitucional nº 132/2023 (Reforma Tributária) e a Lei Complementar nº 214/2025 – Procedimentos para Garantia do Direito e Prevenção de Multas.</w:t>
      </w:r>
    </w:p>
    <w:p w14:paraId="15D855E7" w14:textId="68B4D38C" w:rsidR="006C35C6" w:rsidRPr="006C35C6" w:rsidRDefault="006C35C6" w:rsidP="006C35C6">
      <w:pPr>
        <w:jc w:val="both"/>
        <w:rPr>
          <w:rFonts w:ascii="Century Gothic" w:hAnsi="Century Gothic"/>
        </w:rPr>
      </w:pPr>
    </w:p>
    <w:p w14:paraId="276443B4" w14:textId="77777777" w:rsidR="006C35C6" w:rsidRPr="006C35C6" w:rsidRDefault="006C35C6" w:rsidP="006C35C6">
      <w:pPr>
        <w:jc w:val="both"/>
        <w:rPr>
          <w:rFonts w:ascii="Century Gothic" w:hAnsi="Century Gothic"/>
          <w:b/>
          <w:bCs/>
        </w:rPr>
      </w:pPr>
      <w:r w:rsidRPr="006C35C6">
        <w:rPr>
          <w:rFonts w:ascii="Century Gothic" w:hAnsi="Century Gothic"/>
          <w:b/>
          <w:bCs/>
        </w:rPr>
        <w:t>EMENTA</w:t>
      </w:r>
    </w:p>
    <w:p w14:paraId="4C86207D" w14:textId="77777777" w:rsidR="006C35C6" w:rsidRPr="006C35C6" w:rsidRDefault="006C35C6" w:rsidP="006C35C6">
      <w:pPr>
        <w:jc w:val="both"/>
        <w:rPr>
          <w:rFonts w:ascii="Century Gothic" w:hAnsi="Century Gothic"/>
        </w:rPr>
      </w:pPr>
      <w:r w:rsidRPr="006C35C6">
        <w:rPr>
          <w:rFonts w:ascii="Century Gothic" w:hAnsi="Century Gothic"/>
        </w:rPr>
        <w:t>DIREITO CONSTITUCIONAL E TRIBUTÁRIO. IMUNIDADE TRIBUTÁRIA DE TEMPLOS DE QUALQUER CULTO. ART. 150, VI, "B", DA CF/88. EMENDA CONSTITUCIONAL Nº 132/2023. INSTITUIÇÃO DO IBS E DA CBS. NÃO REVOGAÇÃO OU LIMITAÇÃO DA IMUNIDADE. ALCANCE AO PATRIMÔNIO UTILIZADO NAS FINALIDADES ESSENCIAIS. IMÓVEIS PRÓPRIOS (20.000 UNIDADES). APLICABILIDADE PLENA. NECESSIDADE DE CUMPRIMENTO DAS CONDIÇÕES DO ART. 14 DO CTN E DAS OBRIGAÇÕES ACESSÓRIAS (LC 214/2025, SINTER/CIB). PARECER JURÍDICO PELA MANUTENÇÃO DO DIREITO E ADOÇÃO DE MEDIDAS DE </w:t>
      </w:r>
      <w:r w:rsidRPr="006C35C6">
        <w:rPr>
          <w:rFonts w:ascii="Century Gothic" w:hAnsi="Century Gothic"/>
          <w:i/>
          <w:iCs/>
        </w:rPr>
        <w:t>COMPLIANCE</w:t>
      </w:r>
      <w:r w:rsidRPr="006C35C6">
        <w:rPr>
          <w:rFonts w:ascii="Century Gothic" w:hAnsi="Century Gothic"/>
        </w:rPr>
        <w:t>.</w:t>
      </w:r>
    </w:p>
    <w:p w14:paraId="50993BEB" w14:textId="6F11C584" w:rsidR="006C35C6" w:rsidRPr="006C35C6" w:rsidRDefault="006C35C6" w:rsidP="006C35C6">
      <w:pPr>
        <w:jc w:val="both"/>
        <w:rPr>
          <w:rFonts w:ascii="Century Gothic" w:hAnsi="Century Gothic"/>
        </w:rPr>
      </w:pPr>
    </w:p>
    <w:p w14:paraId="219C7E6A" w14:textId="77777777" w:rsidR="006C35C6" w:rsidRPr="006C35C6" w:rsidRDefault="006C35C6" w:rsidP="006C35C6">
      <w:pPr>
        <w:jc w:val="both"/>
        <w:rPr>
          <w:rFonts w:ascii="Century Gothic" w:hAnsi="Century Gothic"/>
          <w:b/>
          <w:bCs/>
        </w:rPr>
      </w:pPr>
      <w:r w:rsidRPr="006C35C6">
        <w:rPr>
          <w:rFonts w:ascii="Century Gothic" w:hAnsi="Century Gothic"/>
          <w:b/>
          <w:bCs/>
        </w:rPr>
        <w:t>I. INTRODUÇÃO E ESCOPO</w:t>
      </w:r>
    </w:p>
    <w:p w14:paraId="0BAA6C65" w14:textId="77777777" w:rsidR="006C35C6" w:rsidRPr="006C35C6" w:rsidRDefault="006C35C6" w:rsidP="006C35C6">
      <w:pPr>
        <w:jc w:val="both"/>
        <w:rPr>
          <w:rFonts w:ascii="Century Gothic" w:hAnsi="Century Gothic"/>
        </w:rPr>
      </w:pPr>
      <w:r w:rsidRPr="006C35C6">
        <w:rPr>
          <w:rFonts w:ascii="Century Gothic" w:hAnsi="Century Gothic"/>
        </w:rPr>
        <w:t xml:space="preserve">A Igreja do Evangelho Quadrangular (IEQ), na condição de instituição religiosa e detentora de um vultoso patrimônio imobiliário de aproximadamente 20.000 unidades, por meio de seu gestor imobiliário e advogado que subscreve, demanda análise jurídica sobre os impactos da Reforma Tributária promovida pela Emenda Constitucional nº 132, de </w:t>
      </w:r>
      <w:r w:rsidRPr="006C35C6">
        <w:rPr>
          <w:rFonts w:ascii="Century Gothic" w:hAnsi="Century Gothic"/>
        </w:rPr>
        <w:lastRenderedPageBreak/>
        <w:t>2023 (EC 132/23), e da Lei Complementar nº 214, de 2025 (LC 214/25), que instituem o Imposto sobre Bens e Serviços (IBS) e a Contribuição sobre Bens e Serviços (CBS).</w:t>
      </w:r>
    </w:p>
    <w:p w14:paraId="1EF3E92E" w14:textId="77777777" w:rsidR="006C35C6" w:rsidRPr="006C35C6" w:rsidRDefault="006C35C6" w:rsidP="006C35C6">
      <w:pPr>
        <w:jc w:val="both"/>
        <w:rPr>
          <w:rFonts w:ascii="Century Gothic" w:hAnsi="Century Gothic"/>
        </w:rPr>
      </w:pPr>
    </w:p>
    <w:p w14:paraId="240D27E6" w14:textId="77777777" w:rsidR="006C35C6" w:rsidRPr="006C35C6" w:rsidRDefault="006C35C6" w:rsidP="006C35C6">
      <w:pPr>
        <w:jc w:val="both"/>
        <w:rPr>
          <w:rFonts w:ascii="Century Gothic" w:hAnsi="Century Gothic"/>
        </w:rPr>
      </w:pPr>
      <w:r w:rsidRPr="006C35C6">
        <w:rPr>
          <w:rFonts w:ascii="Century Gothic" w:hAnsi="Century Gothic"/>
        </w:rPr>
        <w:t>O presente parecer abordará a manutenção do </w:t>
      </w:r>
      <w:r w:rsidRPr="006C35C6">
        <w:rPr>
          <w:rFonts w:ascii="Century Gothic" w:hAnsi="Century Gothic"/>
          <w:i/>
          <w:iCs/>
        </w:rPr>
        <w:t>status</w:t>
      </w:r>
      <w:r w:rsidRPr="006C35C6">
        <w:rPr>
          <w:rFonts w:ascii="Century Gothic" w:hAnsi="Century Gothic"/>
        </w:rPr>
        <w:t> de imunidade tributária da IEQ e as medidas preventivas e de </w:t>
      </w:r>
      <w:r w:rsidRPr="006C35C6">
        <w:rPr>
          <w:rFonts w:ascii="Century Gothic" w:hAnsi="Century Gothic"/>
          <w:i/>
          <w:iCs/>
        </w:rPr>
        <w:t>compliance</w:t>
      </w:r>
      <w:r w:rsidRPr="006C35C6">
        <w:rPr>
          <w:rFonts w:ascii="Century Gothic" w:hAnsi="Century Gothic"/>
        </w:rPr>
        <w:t> necessárias para evitar a incidência indevida dos novos tributos e a aplicação de penalidades fiscais, </w:t>
      </w:r>
      <w:r w:rsidRPr="006C35C6">
        <w:rPr>
          <w:rFonts w:ascii="Century Gothic" w:hAnsi="Century Gothic"/>
          <w:b/>
          <w:bCs/>
        </w:rPr>
        <w:t>considerando que a IEQ utiliza todos os seus imóveis em caráter próprio</w:t>
      </w:r>
      <w:r w:rsidRPr="006C35C6">
        <w:rPr>
          <w:rFonts w:ascii="Century Gothic" w:hAnsi="Century Gothic"/>
        </w:rPr>
        <w:t>, seja para o culto, seja para a moradia de seus obreiros a serviço da igreja, não havendo contratos de locação para terceiros.</w:t>
      </w:r>
    </w:p>
    <w:p w14:paraId="11E74500" w14:textId="77777777" w:rsidR="006C35C6" w:rsidRPr="006C35C6" w:rsidRDefault="006C35C6" w:rsidP="006C35C6">
      <w:pPr>
        <w:jc w:val="both"/>
        <w:rPr>
          <w:rFonts w:ascii="Century Gothic" w:hAnsi="Century Gothic"/>
        </w:rPr>
      </w:pPr>
    </w:p>
    <w:p w14:paraId="27C067CA" w14:textId="77777777" w:rsidR="006C35C6" w:rsidRPr="006C35C6" w:rsidRDefault="006C35C6" w:rsidP="006C35C6">
      <w:pPr>
        <w:jc w:val="both"/>
        <w:rPr>
          <w:rFonts w:ascii="Century Gothic" w:hAnsi="Century Gothic"/>
          <w:b/>
          <w:bCs/>
        </w:rPr>
      </w:pPr>
      <w:r w:rsidRPr="006C35C6">
        <w:rPr>
          <w:rFonts w:ascii="Century Gothic" w:hAnsi="Century Gothic"/>
          <w:b/>
          <w:bCs/>
        </w:rPr>
        <w:t>II. O FUNDAMENTO CONSTITUCIONAL DA IMUNIDADE E SUA NATUREZA PÉTREA</w:t>
      </w:r>
    </w:p>
    <w:p w14:paraId="1B5A83EE" w14:textId="77777777" w:rsidR="006C35C6" w:rsidRPr="006C35C6" w:rsidRDefault="006C35C6" w:rsidP="006C35C6">
      <w:pPr>
        <w:jc w:val="both"/>
        <w:rPr>
          <w:rFonts w:ascii="Century Gothic" w:hAnsi="Century Gothic"/>
        </w:rPr>
      </w:pPr>
      <w:r w:rsidRPr="006C35C6">
        <w:rPr>
          <w:rFonts w:ascii="Century Gothic" w:hAnsi="Century Gothic"/>
        </w:rPr>
        <w:t>A base de proteção da IEQ é o Artigo 150, inciso VI, alínea "b", da Constituição Federal de 1988 (CF/88), que estabelece a vedação aos entes federados (União, Estados, DF e Municípios) de instituir impostos sobre "templos de qualquer culto".</w:t>
      </w:r>
    </w:p>
    <w:p w14:paraId="7A84093D" w14:textId="77777777" w:rsidR="006C35C6" w:rsidRPr="006C35C6" w:rsidRDefault="006C35C6" w:rsidP="006C35C6">
      <w:pPr>
        <w:jc w:val="both"/>
        <w:rPr>
          <w:rFonts w:ascii="Century Gothic" w:hAnsi="Century Gothic"/>
        </w:rPr>
      </w:pPr>
      <w:r w:rsidRPr="006C35C6">
        <w:rPr>
          <w:rFonts w:ascii="Century Gothic" w:hAnsi="Century Gothic"/>
        </w:rPr>
        <w:t>Essa norma possui eficácia plena e limita o poder de tributar do Estado, sendo considerada uma </w:t>
      </w:r>
      <w:r w:rsidRPr="006C35C6">
        <w:rPr>
          <w:rFonts w:ascii="Century Gothic" w:hAnsi="Century Gothic"/>
          <w:b/>
          <w:bCs/>
        </w:rPr>
        <w:t>cláusula pétrea</w:t>
      </w:r>
      <w:r w:rsidRPr="006C35C6">
        <w:rPr>
          <w:rFonts w:ascii="Century Gothic" w:hAnsi="Century Gothic"/>
        </w:rPr>
        <w:t> da Constituição (Art. 60, § 4º, IV, da CF/88), pois garante a liberdade de crença e culto (Art. 5º, VI).</w:t>
      </w:r>
    </w:p>
    <w:p w14:paraId="366369D0" w14:textId="77777777" w:rsidR="006C35C6" w:rsidRPr="006C35C6" w:rsidRDefault="006C35C6" w:rsidP="006C35C6">
      <w:pPr>
        <w:jc w:val="both"/>
        <w:rPr>
          <w:rFonts w:ascii="Century Gothic" w:hAnsi="Century Gothic"/>
        </w:rPr>
      </w:pPr>
      <w:r w:rsidRPr="006C35C6">
        <w:rPr>
          <w:rFonts w:ascii="Century Gothic" w:hAnsi="Century Gothic"/>
        </w:rPr>
        <w:t>A EC 132/23, ao reestruturar o sistema tributário, manteve expressamente em seu texto as imunidades constitucionais vigentes, não havendo qualquer alteração na proteção conferida à IEQ. O novo sistema (IBS/CBS) deve, obrigatoriamente, respeitar essa limitação.</w:t>
      </w:r>
    </w:p>
    <w:p w14:paraId="194A28B1" w14:textId="77777777" w:rsidR="006C35C6" w:rsidRPr="006C35C6" w:rsidRDefault="006C35C6" w:rsidP="006C35C6">
      <w:pPr>
        <w:jc w:val="both"/>
        <w:rPr>
          <w:rFonts w:ascii="Century Gothic" w:hAnsi="Century Gothic"/>
        </w:rPr>
      </w:pPr>
    </w:p>
    <w:p w14:paraId="1EDF25C2" w14:textId="77777777" w:rsidR="006C35C6" w:rsidRDefault="006C35C6" w:rsidP="006C35C6">
      <w:pPr>
        <w:jc w:val="both"/>
        <w:rPr>
          <w:rFonts w:ascii="Century Gothic" w:hAnsi="Century Gothic"/>
          <w:b/>
          <w:bCs/>
        </w:rPr>
      </w:pPr>
      <w:r w:rsidRPr="006C35C6">
        <w:rPr>
          <w:rFonts w:ascii="Century Gothic" w:hAnsi="Century Gothic"/>
          <w:b/>
          <w:bCs/>
        </w:rPr>
        <w:t>III. O ALCANCE DA IMUNIDADE AO PATRIMÔNIO IMOBILIÁRIO (REQUISITO OBJETIVO E FINALÍSTICO)</w:t>
      </w:r>
    </w:p>
    <w:p w14:paraId="7566AD1E" w14:textId="77777777" w:rsidR="003C2342" w:rsidRPr="006C35C6" w:rsidRDefault="003C2342" w:rsidP="006C35C6">
      <w:pPr>
        <w:jc w:val="both"/>
        <w:rPr>
          <w:rFonts w:ascii="Century Gothic" w:hAnsi="Century Gothic"/>
          <w:b/>
          <w:bCs/>
        </w:rPr>
      </w:pPr>
    </w:p>
    <w:p w14:paraId="71B84B1B" w14:textId="77777777" w:rsidR="006C35C6" w:rsidRPr="006C35C6" w:rsidRDefault="006C35C6" w:rsidP="006C35C6">
      <w:pPr>
        <w:jc w:val="both"/>
        <w:rPr>
          <w:rFonts w:ascii="Century Gothic" w:hAnsi="Century Gothic"/>
        </w:rPr>
      </w:pPr>
      <w:r w:rsidRPr="006C35C6">
        <w:rPr>
          <w:rFonts w:ascii="Century Gothic" w:hAnsi="Century Gothic"/>
        </w:rPr>
        <w:t>A jurisprudência do Supremo Tribunal Federal (STF) é pacífica ao interpretar que a imunidade alcança todo o patrimônio cuja utilização esteja vinculada às finalidades essenciais da entidade.</w:t>
      </w:r>
    </w:p>
    <w:p w14:paraId="46263D86" w14:textId="77777777" w:rsidR="006C35C6" w:rsidRPr="006C35C6" w:rsidRDefault="006C35C6" w:rsidP="006C35C6">
      <w:pPr>
        <w:jc w:val="both"/>
        <w:rPr>
          <w:rFonts w:ascii="Century Gothic" w:hAnsi="Century Gothic"/>
        </w:rPr>
      </w:pPr>
      <w:r w:rsidRPr="006C35C6">
        <w:rPr>
          <w:rFonts w:ascii="Century Gothic" w:hAnsi="Century Gothic"/>
          <w:b/>
          <w:bCs/>
        </w:rPr>
        <w:t>a) Imóveis Próprios (20.000 Unidades - Templos/Moradias de Obreiros):</w:t>
      </w:r>
    </w:p>
    <w:p w14:paraId="44131B1E" w14:textId="77777777" w:rsidR="006C35C6" w:rsidRPr="006C35C6" w:rsidRDefault="006C35C6" w:rsidP="006C35C6">
      <w:pPr>
        <w:jc w:val="both"/>
        <w:rPr>
          <w:rFonts w:ascii="Century Gothic" w:hAnsi="Century Gothic"/>
        </w:rPr>
      </w:pPr>
      <w:r w:rsidRPr="006C35C6">
        <w:rPr>
          <w:rFonts w:ascii="Century Gothic" w:hAnsi="Century Gothic"/>
        </w:rPr>
        <w:lastRenderedPageBreak/>
        <w:t>Neste caso, a IEQ utiliza a totalidade de seus imóveis em caráter próprio. A destinação dos imóveis é inquestionavelmente religiosa ou assistencial/residencial vinculada à atividade-fim (moradia de pastores, obreiros, missionários, templos, centros assistenciais).</w:t>
      </w:r>
    </w:p>
    <w:p w14:paraId="2C0414C8" w14:textId="77777777" w:rsidR="006C35C6" w:rsidRPr="006C35C6" w:rsidRDefault="006C35C6" w:rsidP="006C35C6">
      <w:pPr>
        <w:jc w:val="both"/>
        <w:rPr>
          <w:rFonts w:ascii="Century Gothic" w:hAnsi="Century Gothic"/>
        </w:rPr>
      </w:pPr>
      <w:r w:rsidRPr="006C35C6">
        <w:rPr>
          <w:rFonts w:ascii="Century Gothic" w:hAnsi="Century Gothic"/>
        </w:rPr>
        <w:t>O STF consolidou o entendimento de que a imunidade se aplica a essas situações:</w:t>
      </w:r>
    </w:p>
    <w:p w14:paraId="339E100D" w14:textId="77777777" w:rsidR="006C35C6" w:rsidRPr="006C35C6" w:rsidRDefault="006C35C6" w:rsidP="006C35C6">
      <w:pPr>
        <w:jc w:val="both"/>
        <w:rPr>
          <w:rFonts w:ascii="Century Gothic" w:hAnsi="Century Gothic"/>
        </w:rPr>
      </w:pPr>
      <w:r w:rsidRPr="006C35C6">
        <w:rPr>
          <w:rFonts w:ascii="Century Gothic" w:hAnsi="Century Gothic"/>
          <w:i/>
          <w:iCs/>
        </w:rPr>
        <w:t xml:space="preserve">"O Plenário, por maioria, negou provimento </w:t>
      </w:r>
      <w:proofErr w:type="spellStart"/>
      <w:r w:rsidRPr="006C35C6">
        <w:rPr>
          <w:rFonts w:ascii="Century Gothic" w:hAnsi="Century Gothic"/>
          <w:i/>
          <w:iCs/>
        </w:rPr>
        <w:t>a</w:t>
      </w:r>
      <w:proofErr w:type="spellEnd"/>
      <w:r w:rsidRPr="006C35C6">
        <w:rPr>
          <w:rFonts w:ascii="Century Gothic" w:hAnsi="Century Gothic"/>
          <w:i/>
          <w:iCs/>
        </w:rPr>
        <w:t xml:space="preserve"> recurso extraordinário em que se discutia a imunidade tributária de IPTU de imóvel cedido a título gratuito para outra entidade assistencial. Reiterou-se o entendimento de que a imunidade prevista no art. 150, VI, c, da Constituição Federal, alcança o patrimônio, a renda e os serviços relacionados com as finalidades essenciais das entidades."</w:t>
      </w:r>
      <w:r w:rsidRPr="006C35C6">
        <w:rPr>
          <w:rFonts w:ascii="Century Gothic" w:hAnsi="Century Gothic"/>
        </w:rPr>
        <w:t> (RE 745.334/SP, Tema 385 da Repercussão Geral, Rel. Min. Dias Toffoli).</w:t>
      </w:r>
    </w:p>
    <w:p w14:paraId="51DAA2EE" w14:textId="77777777" w:rsidR="006C35C6" w:rsidRPr="006C35C6" w:rsidRDefault="006C35C6" w:rsidP="006C35C6">
      <w:pPr>
        <w:jc w:val="both"/>
        <w:rPr>
          <w:rFonts w:ascii="Century Gothic" w:hAnsi="Century Gothic"/>
        </w:rPr>
      </w:pPr>
      <w:r w:rsidRPr="006C35C6">
        <w:rPr>
          <w:rFonts w:ascii="Century Gothic" w:hAnsi="Century Gothic"/>
        </w:rPr>
        <w:t>A imunidade se aplica plenamente sobre o patrimônio (IPTU, ITBI na aquisição) e sobre os serviços a eles vinculados.</w:t>
      </w:r>
    </w:p>
    <w:p w14:paraId="4BA966FE" w14:textId="77777777" w:rsidR="006C35C6" w:rsidRPr="006C35C6" w:rsidRDefault="006C35C6" w:rsidP="006C35C6">
      <w:pPr>
        <w:jc w:val="both"/>
        <w:rPr>
          <w:rFonts w:ascii="Century Gothic" w:hAnsi="Century Gothic"/>
        </w:rPr>
      </w:pPr>
      <w:r w:rsidRPr="006C35C6">
        <w:rPr>
          <w:rFonts w:ascii="Century Gothic" w:hAnsi="Century Gothic"/>
          <w:b/>
          <w:bCs/>
        </w:rPr>
        <w:t>b) Inexistência de Atividade Comercial de Locação:</w:t>
      </w:r>
    </w:p>
    <w:p w14:paraId="3CE0F2A5" w14:textId="77777777" w:rsidR="006C35C6" w:rsidRDefault="006C35C6" w:rsidP="006C35C6">
      <w:pPr>
        <w:jc w:val="both"/>
        <w:rPr>
          <w:rFonts w:ascii="Century Gothic" w:hAnsi="Century Gothic"/>
        </w:rPr>
      </w:pPr>
      <w:r w:rsidRPr="006C35C6">
        <w:rPr>
          <w:rFonts w:ascii="Century Gothic" w:hAnsi="Century Gothic"/>
        </w:rPr>
        <w:t>O fato de a IEQ não atuar como locadora para gerar receita comercial simplifica o enquadramento tributário, afastando discussões sobre a aplicação da Súmula 724 do STF ou a EC 116/2022. O uso é direto e, portanto, imune </w:t>
      </w:r>
      <w:r w:rsidRPr="006C35C6">
        <w:rPr>
          <w:rFonts w:ascii="Century Gothic" w:hAnsi="Century Gothic"/>
          <w:i/>
          <w:iCs/>
        </w:rPr>
        <w:t>de per si</w:t>
      </w:r>
      <w:r w:rsidRPr="006C35C6">
        <w:rPr>
          <w:rFonts w:ascii="Century Gothic" w:hAnsi="Century Gothic"/>
        </w:rPr>
        <w:t>, sem a necessidade de comprovar o destino da renda de aluguéis.</w:t>
      </w:r>
    </w:p>
    <w:p w14:paraId="170CF5A9" w14:textId="77777777" w:rsidR="003C2342" w:rsidRPr="006C35C6" w:rsidRDefault="003C2342" w:rsidP="006C35C6">
      <w:pPr>
        <w:jc w:val="both"/>
        <w:rPr>
          <w:rFonts w:ascii="Century Gothic" w:hAnsi="Century Gothic"/>
        </w:rPr>
      </w:pPr>
    </w:p>
    <w:p w14:paraId="1CC96BA6" w14:textId="77777777" w:rsidR="006C35C6" w:rsidRPr="006C35C6" w:rsidRDefault="006C35C6" w:rsidP="006C35C6">
      <w:pPr>
        <w:jc w:val="both"/>
        <w:rPr>
          <w:rFonts w:ascii="Century Gothic" w:hAnsi="Century Gothic"/>
          <w:b/>
          <w:bCs/>
        </w:rPr>
      </w:pPr>
      <w:r w:rsidRPr="006C35C6">
        <w:rPr>
          <w:rFonts w:ascii="Century Gothic" w:hAnsi="Century Gothic"/>
          <w:b/>
          <w:bCs/>
        </w:rPr>
        <w:t>IV. AS CONDIÇÕES DO CÓDIGO TRIBUTÁRIO NACIONAL (REQUISITO SUBJETIVO)</w:t>
      </w:r>
    </w:p>
    <w:p w14:paraId="7633929F" w14:textId="77777777" w:rsidR="006C35C6" w:rsidRPr="006C35C6" w:rsidRDefault="006C35C6" w:rsidP="006C35C6">
      <w:pPr>
        <w:jc w:val="both"/>
        <w:rPr>
          <w:rFonts w:ascii="Century Gothic" w:hAnsi="Century Gothic"/>
        </w:rPr>
      </w:pPr>
      <w:r w:rsidRPr="006C35C6">
        <w:rPr>
          <w:rFonts w:ascii="Century Gothic" w:hAnsi="Century Gothic"/>
        </w:rPr>
        <w:t>Para usufruir da imunidade, a IEQ deve cumprir as determinações do Artigo 14 do Código Tributário Nacional (CTN):</w:t>
      </w:r>
    </w:p>
    <w:p w14:paraId="338CDD5E" w14:textId="77777777" w:rsidR="006C35C6" w:rsidRPr="006C35C6" w:rsidRDefault="006C35C6" w:rsidP="006C35C6">
      <w:pPr>
        <w:numPr>
          <w:ilvl w:val="0"/>
          <w:numId w:val="1"/>
        </w:numPr>
        <w:jc w:val="both"/>
        <w:rPr>
          <w:rFonts w:ascii="Century Gothic" w:hAnsi="Century Gothic"/>
        </w:rPr>
      </w:pPr>
      <w:r w:rsidRPr="006C35C6">
        <w:rPr>
          <w:rFonts w:ascii="Century Gothic" w:hAnsi="Century Gothic"/>
          <w:b/>
          <w:bCs/>
        </w:rPr>
        <w:t>Não distribuição de patrimônio ou rendas:</w:t>
      </w:r>
      <w:r w:rsidRPr="006C35C6">
        <w:rPr>
          <w:rFonts w:ascii="Century Gothic" w:hAnsi="Century Gothic"/>
        </w:rPr>
        <w:t> A igreja deve manter sua natureza de entidade sem fins lucrativos, não distribuindo lucros ou dividendos.</w:t>
      </w:r>
    </w:p>
    <w:p w14:paraId="3E151F83" w14:textId="77777777" w:rsidR="006C35C6" w:rsidRPr="006C35C6" w:rsidRDefault="006C35C6" w:rsidP="006C35C6">
      <w:pPr>
        <w:numPr>
          <w:ilvl w:val="0"/>
          <w:numId w:val="1"/>
        </w:numPr>
        <w:jc w:val="both"/>
        <w:rPr>
          <w:rFonts w:ascii="Century Gothic" w:hAnsi="Century Gothic"/>
        </w:rPr>
      </w:pPr>
      <w:r w:rsidRPr="006C35C6">
        <w:rPr>
          <w:rFonts w:ascii="Century Gothic" w:hAnsi="Century Gothic"/>
          <w:b/>
          <w:bCs/>
        </w:rPr>
        <w:t>Aplicação integral dos recursos no país e nos objetivos institucionais:</w:t>
      </w:r>
      <w:r w:rsidRPr="006C35C6">
        <w:rPr>
          <w:rFonts w:ascii="Century Gothic" w:hAnsi="Century Gothic"/>
        </w:rPr>
        <w:t> A IEQ deve aplicar a totalidade de seus recursos na manutenção de suas finalidades (assistência social, culto, pregação, etc.).</w:t>
      </w:r>
    </w:p>
    <w:p w14:paraId="4B66BF8D" w14:textId="77777777" w:rsidR="006C35C6" w:rsidRDefault="006C35C6" w:rsidP="006C35C6">
      <w:pPr>
        <w:numPr>
          <w:ilvl w:val="0"/>
          <w:numId w:val="1"/>
        </w:numPr>
        <w:jc w:val="both"/>
        <w:rPr>
          <w:rFonts w:ascii="Century Gothic" w:hAnsi="Century Gothic"/>
        </w:rPr>
      </w:pPr>
      <w:r w:rsidRPr="006C35C6">
        <w:rPr>
          <w:rFonts w:ascii="Century Gothic" w:hAnsi="Century Gothic"/>
          <w:b/>
          <w:bCs/>
        </w:rPr>
        <w:lastRenderedPageBreak/>
        <w:t>Manutenção de escrituração contábil regular:</w:t>
      </w:r>
      <w:r w:rsidRPr="006C35C6">
        <w:rPr>
          <w:rFonts w:ascii="Century Gothic" w:hAnsi="Century Gothic"/>
        </w:rPr>
        <w:t> A contabilidade deve ser transparente e segregar as receitas e despesas.</w:t>
      </w:r>
    </w:p>
    <w:p w14:paraId="150EE3BC" w14:textId="77777777" w:rsidR="003C2342" w:rsidRPr="006C35C6" w:rsidRDefault="003C2342" w:rsidP="006C35C6">
      <w:pPr>
        <w:numPr>
          <w:ilvl w:val="0"/>
          <w:numId w:val="1"/>
        </w:numPr>
        <w:jc w:val="both"/>
        <w:rPr>
          <w:rFonts w:ascii="Century Gothic" w:hAnsi="Century Gothic"/>
        </w:rPr>
      </w:pPr>
    </w:p>
    <w:p w14:paraId="3FCF71B1" w14:textId="77777777" w:rsidR="006C35C6" w:rsidRPr="006C35C6" w:rsidRDefault="006C35C6" w:rsidP="006C35C6">
      <w:pPr>
        <w:jc w:val="both"/>
        <w:rPr>
          <w:rFonts w:ascii="Century Gothic" w:hAnsi="Century Gothic"/>
          <w:b/>
          <w:bCs/>
        </w:rPr>
      </w:pPr>
      <w:r w:rsidRPr="006C35C6">
        <w:rPr>
          <w:rFonts w:ascii="Century Gothic" w:hAnsi="Century Gothic"/>
          <w:b/>
          <w:bCs/>
        </w:rPr>
        <w:t>V. OBRIGAÇÕES ACESSÓRIAS E A LEI COMPLEMENTAR Nº 214/2025 (SINTER/CIB)</w:t>
      </w:r>
    </w:p>
    <w:p w14:paraId="14497B9B" w14:textId="77777777" w:rsidR="006C35C6" w:rsidRPr="006C35C6" w:rsidRDefault="006C35C6" w:rsidP="006C35C6">
      <w:pPr>
        <w:jc w:val="both"/>
        <w:rPr>
          <w:rFonts w:ascii="Century Gothic" w:hAnsi="Century Gothic"/>
        </w:rPr>
      </w:pPr>
      <w:r w:rsidRPr="006C35C6">
        <w:rPr>
          <w:rFonts w:ascii="Century Gothic" w:hAnsi="Century Gothic"/>
        </w:rPr>
        <w:t>A imunidade exonera o pagamento do imposto (obrigação principal), mas não a obrigação de informar o fisco (obrigação acessória). A partir de 2026, com a implementação do SINTER (Sistema Nacional de Gestão de Informações Territoriais) e do Cadastro Imobiliário Brasileiro (CIB):</w:t>
      </w:r>
    </w:p>
    <w:p w14:paraId="621796CA" w14:textId="77777777" w:rsidR="006C35C6" w:rsidRPr="006C35C6" w:rsidRDefault="006C35C6" w:rsidP="006C35C6">
      <w:pPr>
        <w:numPr>
          <w:ilvl w:val="0"/>
          <w:numId w:val="2"/>
        </w:numPr>
        <w:jc w:val="both"/>
        <w:rPr>
          <w:rFonts w:ascii="Century Gothic" w:hAnsi="Century Gothic"/>
        </w:rPr>
      </w:pPr>
      <w:r w:rsidRPr="006C35C6">
        <w:rPr>
          <w:rFonts w:ascii="Century Gothic" w:hAnsi="Century Gothic"/>
        </w:rPr>
        <w:t>A IEQ será obrigada a fornecer informações detalhadas de todos os 20.000 imóveis e sua destinação (uso próprio/religioso).</w:t>
      </w:r>
    </w:p>
    <w:p w14:paraId="3E00A70A" w14:textId="77777777" w:rsidR="006C35C6" w:rsidRPr="006C35C6" w:rsidRDefault="006C35C6" w:rsidP="006C35C6">
      <w:pPr>
        <w:numPr>
          <w:ilvl w:val="0"/>
          <w:numId w:val="2"/>
        </w:numPr>
        <w:jc w:val="both"/>
        <w:rPr>
          <w:rFonts w:ascii="Century Gothic" w:hAnsi="Century Gothic"/>
        </w:rPr>
      </w:pPr>
      <w:r w:rsidRPr="006C35C6">
        <w:rPr>
          <w:rFonts w:ascii="Century Gothic" w:hAnsi="Century Gothic"/>
        </w:rPr>
        <w:t>O ano de </w:t>
      </w:r>
      <w:r w:rsidRPr="006C35C6">
        <w:rPr>
          <w:rFonts w:ascii="Century Gothic" w:hAnsi="Century Gothic"/>
          <w:b/>
          <w:bCs/>
        </w:rPr>
        <w:t>2026</w:t>
      </w:r>
      <w:r w:rsidRPr="006C35C6">
        <w:rPr>
          <w:rFonts w:ascii="Century Gothic" w:hAnsi="Century Gothic"/>
        </w:rPr>
        <w:t> será de testes e integração de dados. A falta de informação ou a informação incorreta gerará multas formais severas, mesmo que a igreja seja imune.</w:t>
      </w:r>
    </w:p>
    <w:p w14:paraId="3A14F470" w14:textId="77777777" w:rsidR="006C35C6" w:rsidRPr="006C35C6" w:rsidRDefault="006C35C6" w:rsidP="006C35C6">
      <w:pPr>
        <w:numPr>
          <w:ilvl w:val="0"/>
          <w:numId w:val="2"/>
        </w:numPr>
        <w:jc w:val="both"/>
        <w:rPr>
          <w:rFonts w:ascii="Century Gothic" w:hAnsi="Century Gothic"/>
        </w:rPr>
      </w:pPr>
      <w:r w:rsidRPr="006C35C6">
        <w:rPr>
          <w:rFonts w:ascii="Century Gothic" w:hAnsi="Century Gothic"/>
        </w:rPr>
        <w:t>A partir de 2027, o novo sistema de emissão de documento fiscal eletrônico será obrigatório, e a IEQ deverá utilizá-lo para registrar suas operações, indicando o </w:t>
      </w:r>
      <w:r w:rsidRPr="006C35C6">
        <w:rPr>
          <w:rFonts w:ascii="Century Gothic" w:hAnsi="Century Gothic"/>
          <w:i/>
          <w:iCs/>
        </w:rPr>
        <w:t>status</w:t>
      </w:r>
      <w:r w:rsidRPr="006C35C6">
        <w:rPr>
          <w:rFonts w:ascii="Century Gothic" w:hAnsi="Century Gothic"/>
        </w:rPr>
        <w:t> de imunidade.</w:t>
      </w:r>
    </w:p>
    <w:p w14:paraId="50F2434E" w14:textId="77777777" w:rsidR="006C35C6" w:rsidRPr="006C35C6" w:rsidRDefault="006C35C6" w:rsidP="006C35C6">
      <w:pPr>
        <w:jc w:val="both"/>
        <w:rPr>
          <w:rFonts w:ascii="Century Gothic" w:hAnsi="Century Gothic"/>
          <w:b/>
          <w:bCs/>
        </w:rPr>
      </w:pPr>
      <w:r w:rsidRPr="006C35C6">
        <w:rPr>
          <w:rFonts w:ascii="Century Gothic" w:hAnsi="Century Gothic"/>
          <w:b/>
          <w:bCs/>
        </w:rPr>
        <w:t>VI. CONCLUSÃO E RECOMENDAÇÕES</w:t>
      </w:r>
    </w:p>
    <w:p w14:paraId="790CE046" w14:textId="77777777" w:rsidR="006C35C6" w:rsidRPr="006C35C6" w:rsidRDefault="006C35C6" w:rsidP="006C35C6">
      <w:pPr>
        <w:jc w:val="both"/>
        <w:rPr>
          <w:rFonts w:ascii="Century Gothic" w:hAnsi="Century Gothic"/>
        </w:rPr>
      </w:pPr>
      <w:r w:rsidRPr="006C35C6">
        <w:rPr>
          <w:rFonts w:ascii="Century Gothic" w:hAnsi="Century Gothic"/>
        </w:rPr>
        <w:t>A Igreja do Evangelho Quadrangular mantém seu direito constitucional à imunidade tributária sobre seu patrimônio imobiliário de 20.000 unidades, utilizado para fins religiosos, mesmo após a EC 132/23. O risco reside no descumprimento das obrigações acessórias e na falha em comprovar a destinação da renda (caso receba doações ou outras receitas).</w:t>
      </w:r>
    </w:p>
    <w:p w14:paraId="7E04CE91" w14:textId="77777777" w:rsidR="006C35C6" w:rsidRPr="006C35C6" w:rsidRDefault="006C35C6" w:rsidP="006C35C6">
      <w:pPr>
        <w:jc w:val="both"/>
        <w:rPr>
          <w:rFonts w:ascii="Century Gothic" w:hAnsi="Century Gothic"/>
        </w:rPr>
      </w:pPr>
      <w:r w:rsidRPr="006C35C6">
        <w:rPr>
          <w:rFonts w:ascii="Century Gothic" w:hAnsi="Century Gothic"/>
        </w:rPr>
        <w:t>Recomenda-se à Diretoria a adoção imediata das seguintes medidas:</w:t>
      </w:r>
    </w:p>
    <w:p w14:paraId="19759BAC" w14:textId="77777777" w:rsidR="006C35C6" w:rsidRPr="006C35C6" w:rsidRDefault="006C35C6" w:rsidP="006C35C6">
      <w:pPr>
        <w:numPr>
          <w:ilvl w:val="0"/>
          <w:numId w:val="3"/>
        </w:numPr>
        <w:jc w:val="both"/>
        <w:rPr>
          <w:rFonts w:ascii="Century Gothic" w:hAnsi="Century Gothic"/>
        </w:rPr>
      </w:pPr>
      <w:r w:rsidRPr="006C35C6">
        <w:rPr>
          <w:rFonts w:ascii="Century Gothic" w:hAnsi="Century Gothic"/>
          <w:b/>
          <w:bCs/>
        </w:rPr>
        <w:t>Auditoria de Uso:</w:t>
      </w:r>
      <w:r w:rsidRPr="006C35C6">
        <w:rPr>
          <w:rFonts w:ascii="Century Gothic" w:hAnsi="Century Gothic"/>
        </w:rPr>
        <w:t> Garantir, por meio de vistorias e controles internos, que todos os 20.000 imóveis tenham, de fato, uso exclusivo para as finalidades da igreja (templos ou moradias de obreiros a serviço).</w:t>
      </w:r>
    </w:p>
    <w:p w14:paraId="4FE1C6DD" w14:textId="77777777" w:rsidR="006C35C6" w:rsidRPr="006C35C6" w:rsidRDefault="006C35C6" w:rsidP="006C35C6">
      <w:pPr>
        <w:numPr>
          <w:ilvl w:val="0"/>
          <w:numId w:val="3"/>
        </w:numPr>
        <w:jc w:val="both"/>
        <w:rPr>
          <w:rFonts w:ascii="Century Gothic" w:hAnsi="Century Gothic"/>
        </w:rPr>
      </w:pPr>
      <w:r w:rsidRPr="006C35C6">
        <w:rPr>
          <w:rFonts w:ascii="Century Gothic" w:hAnsi="Century Gothic"/>
          <w:b/>
          <w:bCs/>
        </w:rPr>
        <w:t>Governança Contábil:</w:t>
      </w:r>
      <w:r w:rsidRPr="006C35C6">
        <w:rPr>
          <w:rFonts w:ascii="Century Gothic" w:hAnsi="Century Gothic"/>
        </w:rPr>
        <w:t> Implementar sistema de gestão centralizado e garantir a segregação contábil das receitas, documentando a aplicação integral dos recursos nas finalidades essenciais da IEQ (Art. 14, CTN).</w:t>
      </w:r>
    </w:p>
    <w:p w14:paraId="2396DAAA" w14:textId="77777777" w:rsidR="006C35C6" w:rsidRPr="006C35C6" w:rsidRDefault="006C35C6" w:rsidP="006C35C6">
      <w:pPr>
        <w:numPr>
          <w:ilvl w:val="0"/>
          <w:numId w:val="3"/>
        </w:numPr>
        <w:jc w:val="both"/>
        <w:rPr>
          <w:rFonts w:ascii="Century Gothic" w:hAnsi="Century Gothic"/>
        </w:rPr>
      </w:pPr>
      <w:r w:rsidRPr="006C35C6">
        <w:rPr>
          <w:rFonts w:ascii="Century Gothic" w:hAnsi="Century Gothic"/>
          <w:b/>
          <w:bCs/>
        </w:rPr>
        <w:lastRenderedPageBreak/>
        <w:t>Preparação Tecnológica:</w:t>
      </w:r>
      <w:r w:rsidRPr="006C35C6">
        <w:rPr>
          <w:rFonts w:ascii="Century Gothic" w:hAnsi="Century Gothic"/>
        </w:rPr>
        <w:t> Iniciar a preparação para as obrigações acessórias de 2026 (SINTER/CIB), garantindo a conformidade cadastral de todos os imóveis.</w:t>
      </w:r>
    </w:p>
    <w:p w14:paraId="6D4F5F15" w14:textId="77777777" w:rsidR="006C35C6" w:rsidRPr="006C35C6" w:rsidRDefault="006C35C6" w:rsidP="006C35C6">
      <w:pPr>
        <w:numPr>
          <w:ilvl w:val="0"/>
          <w:numId w:val="3"/>
        </w:numPr>
        <w:jc w:val="both"/>
        <w:rPr>
          <w:rFonts w:ascii="Century Gothic" w:hAnsi="Century Gothic"/>
        </w:rPr>
      </w:pPr>
      <w:r w:rsidRPr="006C35C6">
        <w:rPr>
          <w:rFonts w:ascii="Century Gothic" w:hAnsi="Century Gothic"/>
          <w:b/>
          <w:bCs/>
          <w:i/>
          <w:iCs/>
        </w:rPr>
        <w:t>Compliance</w:t>
      </w:r>
      <w:r w:rsidRPr="006C35C6">
        <w:rPr>
          <w:rFonts w:ascii="Century Gothic" w:hAnsi="Century Gothic"/>
          <w:b/>
          <w:bCs/>
        </w:rPr>
        <w:t> e Treinamento:</w:t>
      </w:r>
      <w:r w:rsidRPr="006C35C6">
        <w:rPr>
          <w:rFonts w:ascii="Century Gothic" w:hAnsi="Century Gothic"/>
        </w:rPr>
        <w:t> Realizar treinamentos com gestores e pastores locais sobre a importância da documentação e das novas obrigações fiscais.</w:t>
      </w:r>
    </w:p>
    <w:p w14:paraId="18FF92BB" w14:textId="77777777" w:rsidR="006C35C6" w:rsidRPr="006C35C6" w:rsidRDefault="006C35C6" w:rsidP="006C35C6">
      <w:pPr>
        <w:jc w:val="both"/>
        <w:rPr>
          <w:rFonts w:ascii="Century Gothic" w:hAnsi="Century Gothic"/>
        </w:rPr>
      </w:pPr>
      <w:r w:rsidRPr="006C35C6">
        <w:rPr>
          <w:rFonts w:ascii="Century Gothic" w:hAnsi="Century Gothic"/>
        </w:rPr>
        <w:t>São os termos do parecer,</w:t>
      </w:r>
    </w:p>
    <w:p w14:paraId="1FACCB34" w14:textId="77777777" w:rsidR="006C35C6" w:rsidRPr="006C35C6" w:rsidRDefault="006C35C6" w:rsidP="006C35C6">
      <w:pPr>
        <w:jc w:val="both"/>
        <w:rPr>
          <w:rFonts w:ascii="Century Gothic" w:hAnsi="Century Gothic"/>
        </w:rPr>
      </w:pPr>
      <w:r w:rsidRPr="006C35C6">
        <w:rPr>
          <w:rFonts w:ascii="Century Gothic" w:hAnsi="Century Gothic"/>
        </w:rPr>
        <w:t>Atenciosamente,</w:t>
      </w:r>
    </w:p>
    <w:p w14:paraId="42FC575E" w14:textId="25BE3F66" w:rsidR="006C35C6" w:rsidRPr="006C35C6" w:rsidRDefault="006C35C6" w:rsidP="006C35C6">
      <w:pPr>
        <w:jc w:val="both"/>
        <w:rPr>
          <w:rFonts w:ascii="Century Gothic" w:hAnsi="Century Gothic"/>
        </w:rPr>
      </w:pPr>
    </w:p>
    <w:p w14:paraId="1C181760" w14:textId="77777777" w:rsidR="002C1AF5" w:rsidRPr="002C1AF5" w:rsidRDefault="006C35C6" w:rsidP="002C1AF5">
      <w:pPr>
        <w:pStyle w:val="SemEspaamento"/>
        <w:rPr>
          <w:rFonts w:ascii="Century Gothic" w:hAnsi="Century Gothic"/>
          <w:b/>
          <w:bCs/>
        </w:rPr>
      </w:pPr>
      <w:r w:rsidRPr="002C1AF5">
        <w:rPr>
          <w:rFonts w:ascii="Century Gothic" w:hAnsi="Century Gothic"/>
          <w:b/>
          <w:bCs/>
        </w:rPr>
        <w:t>Dr. Wellington Silva</w:t>
      </w:r>
    </w:p>
    <w:p w14:paraId="2D853240" w14:textId="77777777" w:rsidR="002C1AF5" w:rsidRPr="002C1AF5" w:rsidRDefault="006C35C6" w:rsidP="002C1AF5">
      <w:pPr>
        <w:pStyle w:val="SemEspaamento"/>
        <w:rPr>
          <w:rFonts w:ascii="Century Gothic" w:hAnsi="Century Gothic"/>
        </w:rPr>
      </w:pPr>
      <w:r w:rsidRPr="002C1AF5">
        <w:rPr>
          <w:rFonts w:ascii="Century Gothic" w:hAnsi="Century Gothic"/>
        </w:rPr>
        <w:t>OAB/MG 57011</w:t>
      </w:r>
    </w:p>
    <w:p w14:paraId="65B083F1" w14:textId="79A44202" w:rsidR="006C35C6" w:rsidRDefault="006C35C6" w:rsidP="002C1AF5">
      <w:pPr>
        <w:pStyle w:val="SemEspaamento"/>
        <w:rPr>
          <w:rFonts w:ascii="Century Gothic" w:hAnsi="Century Gothic"/>
        </w:rPr>
      </w:pPr>
      <w:r w:rsidRPr="002C1AF5">
        <w:rPr>
          <w:rFonts w:ascii="Century Gothic" w:hAnsi="Century Gothic"/>
        </w:rPr>
        <w:t>Gestor Imobiliário</w:t>
      </w:r>
    </w:p>
    <w:p w14:paraId="14BAB73B" w14:textId="77777777" w:rsidR="00BE2F4D" w:rsidRDefault="00BE2F4D" w:rsidP="002C1AF5">
      <w:pPr>
        <w:pStyle w:val="SemEspaamento"/>
        <w:rPr>
          <w:rFonts w:ascii="Century Gothic" w:hAnsi="Century Gothic"/>
        </w:rPr>
      </w:pPr>
    </w:p>
    <w:p w14:paraId="4EC31B57" w14:textId="77777777" w:rsidR="00BE2F4D" w:rsidRDefault="00BE2F4D" w:rsidP="002C1AF5">
      <w:pPr>
        <w:pStyle w:val="SemEspaamento"/>
        <w:rPr>
          <w:rFonts w:ascii="Century Gothic" w:hAnsi="Century Gothic"/>
        </w:rPr>
      </w:pPr>
    </w:p>
    <w:p w14:paraId="52A9ED56" w14:textId="77777777" w:rsidR="00BE2F4D" w:rsidRDefault="00BE2F4D" w:rsidP="002C1AF5">
      <w:pPr>
        <w:pStyle w:val="SemEspaamento"/>
        <w:rPr>
          <w:rFonts w:ascii="Century Gothic" w:hAnsi="Century Gothic"/>
        </w:rPr>
      </w:pPr>
    </w:p>
    <w:p w14:paraId="6E1CB352" w14:textId="77777777" w:rsidR="003C2342" w:rsidRDefault="003C2342" w:rsidP="002C1AF5">
      <w:pPr>
        <w:pStyle w:val="SemEspaamento"/>
        <w:rPr>
          <w:rFonts w:ascii="Century Gothic" w:hAnsi="Century Gothic"/>
        </w:rPr>
      </w:pPr>
    </w:p>
    <w:p w14:paraId="66946A42" w14:textId="77777777" w:rsidR="003C2342" w:rsidRDefault="003C2342" w:rsidP="002C1AF5">
      <w:pPr>
        <w:pStyle w:val="SemEspaamento"/>
        <w:rPr>
          <w:rFonts w:ascii="Century Gothic" w:hAnsi="Century Gothic"/>
        </w:rPr>
      </w:pPr>
    </w:p>
    <w:p w14:paraId="0970769F" w14:textId="77777777" w:rsidR="003C2342" w:rsidRDefault="003C2342" w:rsidP="002C1AF5">
      <w:pPr>
        <w:pStyle w:val="SemEspaamento"/>
        <w:rPr>
          <w:rFonts w:ascii="Century Gothic" w:hAnsi="Century Gothic"/>
        </w:rPr>
      </w:pPr>
    </w:p>
    <w:p w14:paraId="5E95FDE8" w14:textId="77777777" w:rsidR="003C2342" w:rsidRDefault="003C2342" w:rsidP="002C1AF5">
      <w:pPr>
        <w:pStyle w:val="SemEspaamento"/>
        <w:rPr>
          <w:rFonts w:ascii="Century Gothic" w:hAnsi="Century Gothic"/>
        </w:rPr>
      </w:pPr>
    </w:p>
    <w:p w14:paraId="52AE7BC8" w14:textId="77777777" w:rsidR="003C2342" w:rsidRDefault="003C2342" w:rsidP="002C1AF5">
      <w:pPr>
        <w:pStyle w:val="SemEspaamento"/>
        <w:rPr>
          <w:rFonts w:ascii="Century Gothic" w:hAnsi="Century Gothic"/>
        </w:rPr>
      </w:pPr>
    </w:p>
    <w:p w14:paraId="575F8305" w14:textId="77777777" w:rsidR="003C2342" w:rsidRDefault="003C2342" w:rsidP="002C1AF5">
      <w:pPr>
        <w:pStyle w:val="SemEspaamento"/>
        <w:rPr>
          <w:rFonts w:ascii="Century Gothic" w:hAnsi="Century Gothic"/>
        </w:rPr>
      </w:pPr>
    </w:p>
    <w:p w14:paraId="51AEEA1A" w14:textId="77777777" w:rsidR="003C2342" w:rsidRDefault="003C2342" w:rsidP="002C1AF5">
      <w:pPr>
        <w:pStyle w:val="SemEspaamento"/>
        <w:rPr>
          <w:rFonts w:ascii="Century Gothic" w:hAnsi="Century Gothic"/>
        </w:rPr>
      </w:pPr>
    </w:p>
    <w:p w14:paraId="4B001844" w14:textId="77777777" w:rsidR="003C2342" w:rsidRDefault="003C2342" w:rsidP="002C1AF5">
      <w:pPr>
        <w:pStyle w:val="SemEspaamento"/>
        <w:rPr>
          <w:rFonts w:ascii="Century Gothic" w:hAnsi="Century Gothic"/>
        </w:rPr>
      </w:pPr>
    </w:p>
    <w:p w14:paraId="38CA570F" w14:textId="77777777" w:rsidR="003C2342" w:rsidRDefault="003C2342" w:rsidP="002C1AF5">
      <w:pPr>
        <w:pStyle w:val="SemEspaamento"/>
        <w:rPr>
          <w:rFonts w:ascii="Century Gothic" w:hAnsi="Century Gothic"/>
        </w:rPr>
      </w:pPr>
    </w:p>
    <w:p w14:paraId="0F662C6E" w14:textId="77777777" w:rsidR="003C2342" w:rsidRDefault="003C2342" w:rsidP="002C1AF5">
      <w:pPr>
        <w:pStyle w:val="SemEspaamento"/>
        <w:rPr>
          <w:rFonts w:ascii="Century Gothic" w:hAnsi="Century Gothic"/>
        </w:rPr>
      </w:pPr>
    </w:p>
    <w:p w14:paraId="22B6E140" w14:textId="77777777" w:rsidR="003C2342" w:rsidRDefault="003C2342" w:rsidP="002C1AF5">
      <w:pPr>
        <w:pStyle w:val="SemEspaamento"/>
        <w:rPr>
          <w:rFonts w:ascii="Century Gothic" w:hAnsi="Century Gothic"/>
        </w:rPr>
      </w:pPr>
    </w:p>
    <w:p w14:paraId="690D786B" w14:textId="77777777" w:rsidR="003C2342" w:rsidRDefault="003C2342" w:rsidP="002C1AF5">
      <w:pPr>
        <w:pStyle w:val="SemEspaamento"/>
        <w:rPr>
          <w:rFonts w:ascii="Century Gothic" w:hAnsi="Century Gothic"/>
        </w:rPr>
      </w:pPr>
    </w:p>
    <w:p w14:paraId="34B37A66" w14:textId="77777777" w:rsidR="003C2342" w:rsidRDefault="003C2342" w:rsidP="002C1AF5">
      <w:pPr>
        <w:pStyle w:val="SemEspaamento"/>
        <w:rPr>
          <w:rFonts w:ascii="Century Gothic" w:hAnsi="Century Gothic"/>
        </w:rPr>
      </w:pPr>
    </w:p>
    <w:p w14:paraId="0A9E194A" w14:textId="77777777" w:rsidR="003C2342" w:rsidRDefault="003C2342" w:rsidP="002C1AF5">
      <w:pPr>
        <w:pStyle w:val="SemEspaamento"/>
        <w:rPr>
          <w:rFonts w:ascii="Century Gothic" w:hAnsi="Century Gothic"/>
        </w:rPr>
      </w:pPr>
    </w:p>
    <w:p w14:paraId="2EA5515D" w14:textId="77777777" w:rsidR="003C2342" w:rsidRDefault="003C2342" w:rsidP="002C1AF5">
      <w:pPr>
        <w:pStyle w:val="SemEspaamento"/>
        <w:rPr>
          <w:rFonts w:ascii="Century Gothic" w:hAnsi="Century Gothic"/>
        </w:rPr>
      </w:pPr>
    </w:p>
    <w:p w14:paraId="0949AA0F" w14:textId="77777777" w:rsidR="003C2342" w:rsidRDefault="003C2342" w:rsidP="002C1AF5">
      <w:pPr>
        <w:pStyle w:val="SemEspaamento"/>
        <w:rPr>
          <w:rFonts w:ascii="Century Gothic" w:hAnsi="Century Gothic"/>
        </w:rPr>
      </w:pPr>
    </w:p>
    <w:p w14:paraId="2C0DAC52" w14:textId="77777777" w:rsidR="003C2342" w:rsidRDefault="003C2342" w:rsidP="002C1AF5">
      <w:pPr>
        <w:pStyle w:val="SemEspaamento"/>
        <w:rPr>
          <w:rFonts w:ascii="Century Gothic" w:hAnsi="Century Gothic"/>
        </w:rPr>
      </w:pPr>
    </w:p>
    <w:p w14:paraId="30228151" w14:textId="77777777" w:rsidR="003C2342" w:rsidRDefault="003C2342" w:rsidP="002C1AF5">
      <w:pPr>
        <w:pStyle w:val="SemEspaamento"/>
        <w:rPr>
          <w:rFonts w:ascii="Century Gothic" w:hAnsi="Century Gothic"/>
        </w:rPr>
      </w:pPr>
    </w:p>
    <w:p w14:paraId="2C8BAEB0" w14:textId="77777777" w:rsidR="003C2342" w:rsidRDefault="003C2342" w:rsidP="002C1AF5">
      <w:pPr>
        <w:pStyle w:val="SemEspaamento"/>
        <w:rPr>
          <w:rFonts w:ascii="Century Gothic" w:hAnsi="Century Gothic"/>
        </w:rPr>
      </w:pPr>
    </w:p>
    <w:p w14:paraId="31C367DA" w14:textId="77777777" w:rsidR="003C2342" w:rsidRDefault="003C2342" w:rsidP="002C1AF5">
      <w:pPr>
        <w:pStyle w:val="SemEspaamento"/>
        <w:rPr>
          <w:rFonts w:ascii="Century Gothic" w:hAnsi="Century Gothic"/>
        </w:rPr>
      </w:pPr>
    </w:p>
    <w:p w14:paraId="687675D7" w14:textId="77777777" w:rsidR="003C2342" w:rsidRDefault="003C2342" w:rsidP="002C1AF5">
      <w:pPr>
        <w:pStyle w:val="SemEspaamento"/>
        <w:rPr>
          <w:rFonts w:ascii="Century Gothic" w:hAnsi="Century Gothic"/>
        </w:rPr>
      </w:pPr>
    </w:p>
    <w:p w14:paraId="7161C999" w14:textId="77777777" w:rsidR="003C2342" w:rsidRDefault="003C2342" w:rsidP="002C1AF5">
      <w:pPr>
        <w:pStyle w:val="SemEspaamento"/>
        <w:rPr>
          <w:rFonts w:ascii="Century Gothic" w:hAnsi="Century Gothic"/>
        </w:rPr>
      </w:pPr>
    </w:p>
    <w:p w14:paraId="78FF6CDE" w14:textId="77777777" w:rsidR="003C2342" w:rsidRDefault="003C2342" w:rsidP="002C1AF5">
      <w:pPr>
        <w:pStyle w:val="SemEspaamento"/>
        <w:rPr>
          <w:rFonts w:ascii="Century Gothic" w:hAnsi="Century Gothic"/>
        </w:rPr>
      </w:pPr>
    </w:p>
    <w:p w14:paraId="018F8F2F" w14:textId="77777777" w:rsidR="003C2342" w:rsidRDefault="003C2342" w:rsidP="002C1AF5">
      <w:pPr>
        <w:pStyle w:val="SemEspaamento"/>
        <w:rPr>
          <w:rFonts w:ascii="Century Gothic" w:hAnsi="Century Gothic"/>
        </w:rPr>
      </w:pPr>
    </w:p>
    <w:p w14:paraId="45FD4935" w14:textId="77777777" w:rsidR="003C2342" w:rsidRDefault="003C2342" w:rsidP="002C1AF5">
      <w:pPr>
        <w:pStyle w:val="SemEspaamento"/>
        <w:rPr>
          <w:rFonts w:ascii="Century Gothic" w:hAnsi="Century Gothic"/>
        </w:rPr>
      </w:pPr>
    </w:p>
    <w:p w14:paraId="71A5F8D6" w14:textId="77777777" w:rsidR="003C2342" w:rsidRDefault="003C2342" w:rsidP="002C1AF5">
      <w:pPr>
        <w:pStyle w:val="SemEspaamento"/>
        <w:rPr>
          <w:rFonts w:ascii="Century Gothic" w:hAnsi="Century Gothic"/>
        </w:rPr>
      </w:pPr>
    </w:p>
    <w:p w14:paraId="74C34E93" w14:textId="77777777" w:rsidR="003C2342" w:rsidRDefault="003C2342" w:rsidP="002C1AF5">
      <w:pPr>
        <w:pStyle w:val="SemEspaamento"/>
        <w:rPr>
          <w:rFonts w:ascii="Century Gothic" w:hAnsi="Century Gothic"/>
        </w:rPr>
      </w:pPr>
    </w:p>
    <w:p w14:paraId="5A48CB0F" w14:textId="291017DA" w:rsidR="00BE2F4D" w:rsidRDefault="00BE2F4D" w:rsidP="00BE2F4D">
      <w:pPr>
        <w:pStyle w:val="SemEspaamento"/>
        <w:jc w:val="both"/>
        <w:rPr>
          <w:rFonts w:ascii="Century Gothic" w:hAnsi="Century Gothic"/>
        </w:rPr>
      </w:pPr>
      <w:r w:rsidRPr="00BE2F4D">
        <w:rPr>
          <w:rFonts w:ascii="Century Gothic" w:hAnsi="Century Gothic"/>
        </w:rPr>
        <w:t>Além das ações já detalhadas no parecer jurídico, que focam na conformidade legal e contábil, uma sugestão prática e de gestão que pod</w:t>
      </w:r>
      <w:r w:rsidR="00C743BB">
        <w:rPr>
          <w:rFonts w:ascii="Century Gothic" w:hAnsi="Century Gothic"/>
        </w:rPr>
        <w:t>erá</w:t>
      </w:r>
      <w:r w:rsidRPr="00BE2F4D">
        <w:rPr>
          <w:rFonts w:ascii="Century Gothic" w:hAnsi="Century Gothic"/>
        </w:rPr>
        <w:t xml:space="preserve"> implementar é a </w:t>
      </w:r>
      <w:r w:rsidRPr="00BE2F4D">
        <w:rPr>
          <w:rFonts w:ascii="Century Gothic" w:hAnsi="Century Gothic"/>
          <w:b/>
          <w:bCs/>
        </w:rPr>
        <w:t>Padronização dos Termos de Ocupação/Comodato</w:t>
      </w:r>
      <w:r w:rsidRPr="00BE2F4D">
        <w:rPr>
          <w:rFonts w:ascii="Century Gothic" w:hAnsi="Century Gothic"/>
        </w:rPr>
        <w:t>.</w:t>
      </w:r>
    </w:p>
    <w:p w14:paraId="030C954B" w14:textId="77777777" w:rsidR="00C743BB" w:rsidRPr="00BE2F4D" w:rsidRDefault="00C743BB" w:rsidP="00BE2F4D">
      <w:pPr>
        <w:pStyle w:val="SemEspaamento"/>
        <w:jc w:val="both"/>
        <w:rPr>
          <w:rFonts w:ascii="Century Gothic" w:hAnsi="Century Gothic"/>
        </w:rPr>
      </w:pPr>
    </w:p>
    <w:p w14:paraId="35A2EAA6" w14:textId="77777777" w:rsidR="00BE2F4D" w:rsidRDefault="00BE2F4D" w:rsidP="00BE2F4D">
      <w:pPr>
        <w:pStyle w:val="SemEspaamento"/>
        <w:jc w:val="both"/>
        <w:rPr>
          <w:rFonts w:ascii="Century Gothic" w:hAnsi="Century Gothic"/>
          <w:b/>
          <w:bCs/>
        </w:rPr>
      </w:pPr>
      <w:r w:rsidRPr="00BE2F4D">
        <w:rPr>
          <w:rFonts w:ascii="Century Gothic" w:hAnsi="Century Gothic"/>
          <w:b/>
          <w:bCs/>
        </w:rPr>
        <w:t>Sugestão Adicional: Padronização dos Termos de Ocupação</w:t>
      </w:r>
    </w:p>
    <w:p w14:paraId="57F5938E" w14:textId="77777777" w:rsidR="00C743BB" w:rsidRPr="00BE2F4D" w:rsidRDefault="00C743BB" w:rsidP="00BE2F4D">
      <w:pPr>
        <w:pStyle w:val="SemEspaamento"/>
        <w:jc w:val="both"/>
        <w:rPr>
          <w:rFonts w:ascii="Century Gothic" w:hAnsi="Century Gothic"/>
          <w:b/>
          <w:bCs/>
        </w:rPr>
      </w:pPr>
    </w:p>
    <w:p w14:paraId="4610A0DF" w14:textId="77777777" w:rsidR="00BE2F4D" w:rsidRPr="00BE2F4D" w:rsidRDefault="00BE2F4D" w:rsidP="00BE2F4D">
      <w:pPr>
        <w:pStyle w:val="SemEspaamento"/>
        <w:jc w:val="both"/>
        <w:rPr>
          <w:rFonts w:ascii="Century Gothic" w:hAnsi="Century Gothic"/>
        </w:rPr>
      </w:pPr>
      <w:r w:rsidRPr="00BE2F4D">
        <w:rPr>
          <w:rFonts w:ascii="Century Gothic" w:hAnsi="Century Gothic"/>
        </w:rPr>
        <w:t>Para os imóveis que servem de moradia para pastores e obreiros (que não são aluguéis no sentido comercial), é fundamental ter um documento formal que defina a natureza dessa ocupação.</w:t>
      </w:r>
    </w:p>
    <w:p w14:paraId="06F85831" w14:textId="77777777" w:rsidR="00BE2F4D" w:rsidRPr="00BE2F4D" w:rsidRDefault="00BE2F4D" w:rsidP="00BE2F4D">
      <w:pPr>
        <w:pStyle w:val="SemEspaamento"/>
        <w:jc w:val="both"/>
        <w:rPr>
          <w:rFonts w:ascii="Century Gothic" w:hAnsi="Century Gothic"/>
        </w:rPr>
      </w:pPr>
      <w:r w:rsidRPr="00BE2F4D">
        <w:rPr>
          <w:rFonts w:ascii="Century Gothic" w:hAnsi="Century Gothic"/>
          <w:b/>
          <w:bCs/>
        </w:rPr>
        <w:t>Por quê?</w:t>
      </w:r>
    </w:p>
    <w:p w14:paraId="005C06BA" w14:textId="77777777" w:rsidR="00BE2F4D" w:rsidRPr="00BE2F4D" w:rsidRDefault="00BE2F4D" w:rsidP="00BE2F4D">
      <w:pPr>
        <w:pStyle w:val="SemEspaamento"/>
        <w:jc w:val="both"/>
        <w:rPr>
          <w:rFonts w:ascii="Century Gothic" w:hAnsi="Century Gothic"/>
        </w:rPr>
      </w:pPr>
      <w:r w:rsidRPr="00BE2F4D">
        <w:rPr>
          <w:rFonts w:ascii="Century Gothic" w:hAnsi="Century Gothic"/>
        </w:rPr>
        <w:t>Embora você afirme que não há locação, em uma fiscalização, a Receita Federal pode questionar a natureza do contrato. A ausência de um contrato de locação (comercial) e a existência de um contrato de comodato ou termo de ocupação (gratuito ou com taxa de manutenção simbólica) reforça a tese da imunidade.</w:t>
      </w:r>
    </w:p>
    <w:p w14:paraId="079119D3" w14:textId="77777777" w:rsidR="003C2342" w:rsidRDefault="003C2342" w:rsidP="00BE2F4D">
      <w:pPr>
        <w:pStyle w:val="SemEspaamento"/>
        <w:jc w:val="both"/>
        <w:rPr>
          <w:rFonts w:ascii="Century Gothic" w:hAnsi="Century Gothic"/>
          <w:b/>
          <w:bCs/>
        </w:rPr>
      </w:pPr>
    </w:p>
    <w:p w14:paraId="657AC684" w14:textId="08E9ACA6" w:rsidR="00BE2F4D" w:rsidRPr="00BE2F4D" w:rsidRDefault="00BE2F4D" w:rsidP="00BE2F4D">
      <w:pPr>
        <w:pStyle w:val="SemEspaamento"/>
        <w:jc w:val="both"/>
        <w:rPr>
          <w:rFonts w:ascii="Century Gothic" w:hAnsi="Century Gothic"/>
        </w:rPr>
      </w:pPr>
      <w:r w:rsidRPr="00BE2F4D">
        <w:rPr>
          <w:rFonts w:ascii="Century Gothic" w:hAnsi="Century Gothic"/>
          <w:b/>
          <w:bCs/>
        </w:rPr>
        <w:t>Ações a Tomar:</w:t>
      </w:r>
    </w:p>
    <w:p w14:paraId="321E9198" w14:textId="77777777" w:rsidR="00BE2F4D" w:rsidRPr="00BE2F4D" w:rsidRDefault="00BE2F4D" w:rsidP="00BE2F4D">
      <w:pPr>
        <w:pStyle w:val="SemEspaamento"/>
        <w:numPr>
          <w:ilvl w:val="0"/>
          <w:numId w:val="4"/>
        </w:numPr>
        <w:jc w:val="both"/>
        <w:rPr>
          <w:rFonts w:ascii="Century Gothic" w:hAnsi="Century Gothic"/>
        </w:rPr>
      </w:pPr>
      <w:r w:rsidRPr="00BE2F4D">
        <w:rPr>
          <w:rFonts w:ascii="Century Gothic" w:hAnsi="Century Gothic"/>
          <w:b/>
          <w:bCs/>
        </w:rPr>
        <w:t>Elaborar um Modelo Padrão de Contrato de Comodato/Termo de Ocupação:</w:t>
      </w:r>
      <w:r w:rsidRPr="00BE2F4D">
        <w:rPr>
          <w:rFonts w:ascii="Century Gothic" w:hAnsi="Century Gothic"/>
        </w:rPr>
        <w:t> Como advogado, crie um modelo de documento que:</w:t>
      </w:r>
    </w:p>
    <w:p w14:paraId="59C43BB3" w14:textId="77777777" w:rsidR="00BE2F4D" w:rsidRPr="00BE2F4D" w:rsidRDefault="00BE2F4D" w:rsidP="00BE2F4D">
      <w:pPr>
        <w:pStyle w:val="SemEspaamento"/>
        <w:numPr>
          <w:ilvl w:val="1"/>
          <w:numId w:val="5"/>
        </w:numPr>
        <w:jc w:val="both"/>
        <w:rPr>
          <w:rFonts w:ascii="Century Gothic" w:hAnsi="Century Gothic"/>
        </w:rPr>
      </w:pPr>
      <w:r w:rsidRPr="00BE2F4D">
        <w:rPr>
          <w:rFonts w:ascii="Century Gothic" w:hAnsi="Century Gothic"/>
        </w:rPr>
        <w:t>Especifique que o uso do imóvel é </w:t>
      </w:r>
      <w:r w:rsidRPr="00BE2F4D">
        <w:rPr>
          <w:rFonts w:ascii="Century Gothic" w:hAnsi="Century Gothic"/>
          <w:b/>
          <w:bCs/>
        </w:rPr>
        <w:t>gratuito</w:t>
      </w:r>
      <w:r w:rsidRPr="00BE2F4D">
        <w:rPr>
          <w:rFonts w:ascii="Century Gothic" w:hAnsi="Century Gothic"/>
        </w:rPr>
        <w:t> (comodato) ou que há apenas uma </w:t>
      </w:r>
      <w:r w:rsidRPr="00BE2F4D">
        <w:rPr>
          <w:rFonts w:ascii="Century Gothic" w:hAnsi="Century Gothic"/>
          <w:b/>
          <w:bCs/>
        </w:rPr>
        <w:t>taxa de manutenção</w:t>
      </w:r>
      <w:r w:rsidRPr="00BE2F4D">
        <w:rPr>
          <w:rFonts w:ascii="Century Gothic" w:hAnsi="Century Gothic"/>
        </w:rPr>
        <w:t> (não um aluguel).</w:t>
      </w:r>
    </w:p>
    <w:p w14:paraId="583326CE" w14:textId="77777777" w:rsidR="00BE2F4D" w:rsidRPr="00BE2F4D" w:rsidRDefault="00BE2F4D" w:rsidP="00BE2F4D">
      <w:pPr>
        <w:pStyle w:val="SemEspaamento"/>
        <w:numPr>
          <w:ilvl w:val="1"/>
          <w:numId w:val="6"/>
        </w:numPr>
        <w:jc w:val="both"/>
        <w:rPr>
          <w:rFonts w:ascii="Century Gothic" w:hAnsi="Century Gothic"/>
        </w:rPr>
      </w:pPr>
      <w:r w:rsidRPr="00BE2F4D">
        <w:rPr>
          <w:rFonts w:ascii="Century Gothic" w:hAnsi="Century Gothic"/>
        </w:rPr>
        <w:t>Vincule a ocupação à </w:t>
      </w:r>
      <w:r w:rsidRPr="00BE2F4D">
        <w:rPr>
          <w:rFonts w:ascii="Century Gothic" w:hAnsi="Century Gothic"/>
          <w:b/>
          <w:bCs/>
        </w:rPr>
        <w:t>condição de obreiro/pastor em serviço</w:t>
      </w:r>
      <w:r w:rsidRPr="00BE2F4D">
        <w:rPr>
          <w:rFonts w:ascii="Century Gothic" w:hAnsi="Century Gothic"/>
        </w:rPr>
        <w:t> na igreja, deixando claro que o direito de uso cessa com o desligamento da função.</w:t>
      </w:r>
    </w:p>
    <w:p w14:paraId="3D649270" w14:textId="77777777" w:rsidR="00BE2F4D" w:rsidRDefault="00BE2F4D" w:rsidP="00BE2F4D">
      <w:pPr>
        <w:pStyle w:val="SemEspaamento"/>
        <w:numPr>
          <w:ilvl w:val="1"/>
          <w:numId w:val="7"/>
        </w:numPr>
        <w:jc w:val="both"/>
        <w:rPr>
          <w:rFonts w:ascii="Century Gothic" w:hAnsi="Century Gothic"/>
        </w:rPr>
      </w:pPr>
      <w:r w:rsidRPr="00BE2F4D">
        <w:rPr>
          <w:rFonts w:ascii="Century Gothic" w:hAnsi="Century Gothic"/>
        </w:rPr>
        <w:t>Reitere a </w:t>
      </w:r>
      <w:r w:rsidRPr="00BE2F4D">
        <w:rPr>
          <w:rFonts w:ascii="Century Gothic" w:hAnsi="Century Gothic"/>
          <w:b/>
          <w:bCs/>
        </w:rPr>
        <w:t>finalidade religiosa/institucional</w:t>
      </w:r>
      <w:r w:rsidRPr="00BE2F4D">
        <w:rPr>
          <w:rFonts w:ascii="Century Gothic" w:hAnsi="Century Gothic"/>
        </w:rPr>
        <w:t> da moradia.</w:t>
      </w:r>
    </w:p>
    <w:p w14:paraId="46740641" w14:textId="77777777" w:rsidR="003C2342" w:rsidRPr="00BE2F4D" w:rsidRDefault="003C2342" w:rsidP="003C2342">
      <w:pPr>
        <w:pStyle w:val="SemEspaamento"/>
        <w:jc w:val="both"/>
        <w:rPr>
          <w:rFonts w:ascii="Century Gothic" w:hAnsi="Century Gothic"/>
        </w:rPr>
      </w:pPr>
    </w:p>
    <w:p w14:paraId="5652B837" w14:textId="77777777" w:rsidR="00BE2F4D" w:rsidRDefault="00BE2F4D" w:rsidP="00BE2F4D">
      <w:pPr>
        <w:pStyle w:val="SemEspaamento"/>
        <w:numPr>
          <w:ilvl w:val="0"/>
          <w:numId w:val="4"/>
        </w:numPr>
        <w:jc w:val="both"/>
        <w:rPr>
          <w:rFonts w:ascii="Century Gothic" w:hAnsi="Century Gothic"/>
        </w:rPr>
      </w:pPr>
      <w:r w:rsidRPr="00BE2F4D">
        <w:rPr>
          <w:rFonts w:ascii="Century Gothic" w:hAnsi="Century Gothic"/>
          <w:b/>
          <w:bCs/>
        </w:rPr>
        <w:t>Formalizar a Ocupação das 20.000 Unidades:</w:t>
      </w:r>
      <w:r w:rsidRPr="00BE2F4D">
        <w:rPr>
          <w:rFonts w:ascii="Century Gothic" w:hAnsi="Century Gothic"/>
        </w:rPr>
        <w:t> Garanta que cada uma das 20.000 unidades ocupadas por obreiros tenha este documento assinado e arquivado. Isso é uma prova material robusta da destinação do imóvel, fortalecendo a defesa da imunidade perante o fisco.</w:t>
      </w:r>
    </w:p>
    <w:p w14:paraId="404C646D" w14:textId="77777777" w:rsidR="003C2342" w:rsidRPr="00BE2F4D" w:rsidRDefault="003C2342" w:rsidP="003C2342">
      <w:pPr>
        <w:pStyle w:val="SemEspaamento"/>
        <w:ind w:left="720"/>
        <w:jc w:val="both"/>
        <w:rPr>
          <w:rFonts w:ascii="Century Gothic" w:hAnsi="Century Gothic"/>
        </w:rPr>
      </w:pPr>
    </w:p>
    <w:p w14:paraId="3E71F48A" w14:textId="77777777" w:rsidR="00BE2F4D" w:rsidRDefault="00BE2F4D" w:rsidP="00BE2F4D">
      <w:pPr>
        <w:pStyle w:val="SemEspaamento"/>
        <w:jc w:val="both"/>
        <w:rPr>
          <w:rFonts w:ascii="Century Gothic" w:hAnsi="Century Gothic"/>
        </w:rPr>
      </w:pPr>
      <w:r w:rsidRPr="00BE2F4D">
        <w:rPr>
          <w:rFonts w:ascii="Century Gothic" w:hAnsi="Century Gothic"/>
        </w:rPr>
        <w:t>Essa ação complementa o controle documental e a governança, minimizando a margem para interpretações fiscais desfavoráveis.</w:t>
      </w:r>
    </w:p>
    <w:p w14:paraId="4D19063C" w14:textId="77777777" w:rsidR="00BE2F4D" w:rsidRDefault="00BE2F4D" w:rsidP="00BE2F4D">
      <w:pPr>
        <w:pStyle w:val="SemEspaamento"/>
        <w:jc w:val="both"/>
        <w:rPr>
          <w:rFonts w:ascii="Century Gothic" w:hAnsi="Century Gothic"/>
        </w:rPr>
      </w:pPr>
    </w:p>
    <w:p w14:paraId="2AB63F89" w14:textId="77777777" w:rsidR="00BE2F4D" w:rsidRDefault="00BE2F4D" w:rsidP="00BE2F4D">
      <w:pPr>
        <w:pStyle w:val="SemEspaamento"/>
        <w:jc w:val="both"/>
        <w:rPr>
          <w:rFonts w:ascii="Century Gothic" w:hAnsi="Century Gothic"/>
        </w:rPr>
      </w:pPr>
    </w:p>
    <w:p w14:paraId="0130C741" w14:textId="77777777" w:rsidR="00BE2F4D" w:rsidRDefault="00BE2F4D" w:rsidP="00BE2F4D">
      <w:pPr>
        <w:pStyle w:val="SemEspaamento"/>
        <w:jc w:val="both"/>
        <w:rPr>
          <w:rFonts w:ascii="Century Gothic" w:hAnsi="Century Gothic"/>
        </w:rPr>
      </w:pPr>
    </w:p>
    <w:p w14:paraId="30B6413B" w14:textId="7723111E" w:rsidR="00BE2F4D" w:rsidRDefault="00BE2F4D" w:rsidP="00BE2F4D">
      <w:pPr>
        <w:pStyle w:val="SemEspaamento"/>
        <w:jc w:val="both"/>
        <w:rPr>
          <w:rFonts w:ascii="Century Gothic" w:hAnsi="Century Gothic"/>
        </w:rPr>
      </w:pPr>
      <w:r>
        <w:rPr>
          <w:rFonts w:ascii="Century Gothic" w:hAnsi="Century Gothic"/>
        </w:rPr>
        <w:t>+++++++++++++++</w:t>
      </w:r>
    </w:p>
    <w:p w14:paraId="23FF8E5A" w14:textId="77777777" w:rsidR="00BE2F4D" w:rsidRPr="00BE2F4D" w:rsidRDefault="00BE2F4D" w:rsidP="00BE2F4D">
      <w:pPr>
        <w:pStyle w:val="SemEspaamento"/>
        <w:jc w:val="both"/>
        <w:rPr>
          <w:rFonts w:ascii="Century Gothic" w:hAnsi="Century Gothic"/>
        </w:rPr>
      </w:pPr>
    </w:p>
    <w:p w14:paraId="726A74D4" w14:textId="77777777" w:rsidR="00BE2F4D" w:rsidRDefault="00BE2F4D" w:rsidP="00BE2F4D">
      <w:pPr>
        <w:pStyle w:val="SemEspaamento"/>
        <w:jc w:val="both"/>
        <w:rPr>
          <w:rFonts w:ascii="Century Gothic" w:hAnsi="Century Gothic"/>
        </w:rPr>
      </w:pPr>
    </w:p>
    <w:p w14:paraId="45978758" w14:textId="77777777" w:rsidR="003C2342" w:rsidRDefault="003C2342" w:rsidP="00BE2F4D">
      <w:pPr>
        <w:pStyle w:val="SemEspaamento"/>
        <w:jc w:val="both"/>
        <w:rPr>
          <w:rFonts w:ascii="Century Gothic" w:hAnsi="Century Gothic"/>
        </w:rPr>
      </w:pPr>
    </w:p>
    <w:p w14:paraId="0E0B0A52" w14:textId="77777777" w:rsidR="003C2342" w:rsidRPr="002C1AF5" w:rsidRDefault="003C2342" w:rsidP="00BE2F4D">
      <w:pPr>
        <w:pStyle w:val="SemEspaamento"/>
        <w:jc w:val="both"/>
        <w:rPr>
          <w:rFonts w:ascii="Century Gothic" w:hAnsi="Century Gothic"/>
        </w:rPr>
      </w:pPr>
    </w:p>
    <w:p w14:paraId="7C24D1C6" w14:textId="77777777" w:rsidR="00BE2F4D" w:rsidRPr="00BE2F4D" w:rsidRDefault="00BE2F4D" w:rsidP="00BE2F4D">
      <w:pPr>
        <w:jc w:val="both"/>
        <w:rPr>
          <w:rFonts w:ascii="Century Gothic" w:hAnsi="Century Gothic"/>
          <w:b/>
          <w:bCs/>
        </w:rPr>
      </w:pPr>
      <w:r w:rsidRPr="00BE2F4D">
        <w:rPr>
          <w:rFonts w:ascii="Century Gothic" w:hAnsi="Century Gothic"/>
          <w:b/>
          <w:bCs/>
        </w:rPr>
        <w:lastRenderedPageBreak/>
        <w:t>Modelo Padrão de Termo de Comodato para Uso Residencial de Obreiros da IEQ</w:t>
      </w:r>
    </w:p>
    <w:p w14:paraId="2B90A1FA" w14:textId="77777777" w:rsidR="00BE2F4D" w:rsidRPr="00BE2F4D" w:rsidRDefault="00BE2F4D" w:rsidP="00BE2F4D">
      <w:pPr>
        <w:jc w:val="both"/>
        <w:rPr>
          <w:rFonts w:ascii="Century Gothic" w:hAnsi="Century Gothic"/>
        </w:rPr>
      </w:pPr>
      <w:r w:rsidRPr="00BE2F4D">
        <w:rPr>
          <w:rFonts w:ascii="Century Gothic" w:hAnsi="Century Gothic"/>
        </w:rPr>
        <w:t>Este modelo serve como base para formalizar a ocupação dos imóveis pela Igreja do Evangelho Quadrangular (IEQ) e seus obreiros. Ele deve ser adaptado para cada situação específica e assinado pelas partes envolvidas.</w:t>
      </w:r>
    </w:p>
    <w:p w14:paraId="66A2AFD6" w14:textId="1E04E21F" w:rsidR="00BE2F4D" w:rsidRPr="00BE2F4D" w:rsidRDefault="00BE2F4D" w:rsidP="00BE2F4D">
      <w:pPr>
        <w:jc w:val="both"/>
        <w:rPr>
          <w:rFonts w:ascii="Century Gothic" w:hAnsi="Century Gothic"/>
        </w:rPr>
      </w:pPr>
    </w:p>
    <w:p w14:paraId="0A40918B" w14:textId="77777777" w:rsidR="00BE2F4D" w:rsidRPr="00BE2F4D" w:rsidRDefault="00BE2F4D" w:rsidP="00BE2F4D">
      <w:pPr>
        <w:jc w:val="both"/>
        <w:rPr>
          <w:rFonts w:ascii="Century Gothic" w:hAnsi="Century Gothic"/>
        </w:rPr>
      </w:pPr>
      <w:r w:rsidRPr="00BE2F4D">
        <w:rPr>
          <w:rFonts w:ascii="Century Gothic" w:hAnsi="Century Gothic"/>
          <w:b/>
          <w:bCs/>
        </w:rPr>
        <w:t>TERMO DE COMODATO DE IMÓVEL PARA USO RESIDENCIAL DE OBREIRO(A)</w:t>
      </w:r>
    </w:p>
    <w:p w14:paraId="3F275FA8" w14:textId="77777777" w:rsidR="001A3366" w:rsidRDefault="00BE2F4D" w:rsidP="00BE2F4D">
      <w:pPr>
        <w:jc w:val="both"/>
        <w:rPr>
          <w:rFonts w:ascii="Century Gothic" w:hAnsi="Century Gothic"/>
        </w:rPr>
      </w:pPr>
      <w:r w:rsidRPr="00BE2F4D">
        <w:rPr>
          <w:rFonts w:ascii="Century Gothic" w:hAnsi="Century Gothic"/>
        </w:rPr>
        <w:t>Pelo presente instrumento particular de Comodato, de um lado, a </w:t>
      </w:r>
      <w:r w:rsidRPr="00BE2F4D">
        <w:rPr>
          <w:rFonts w:ascii="Century Gothic" w:hAnsi="Century Gothic"/>
          <w:b/>
          <w:bCs/>
        </w:rPr>
        <w:t>IGREJA DO EVANGELHO QUADRANGULAR (IEQ)</w:t>
      </w:r>
      <w:r w:rsidRPr="00BE2F4D">
        <w:rPr>
          <w:rFonts w:ascii="Century Gothic" w:hAnsi="Century Gothic"/>
        </w:rPr>
        <w:t xml:space="preserve">, pessoa jurídica de direito privado, inscrita no CNPJ sob o nº </w:t>
      </w:r>
      <w:proofErr w:type="gramStart"/>
      <w:r w:rsidRPr="00BE2F4D">
        <w:rPr>
          <w:rFonts w:ascii="Century Gothic" w:hAnsi="Century Gothic"/>
        </w:rPr>
        <w:t>[Inserir</w:t>
      </w:r>
      <w:proofErr w:type="gramEnd"/>
      <w:r w:rsidRPr="00BE2F4D">
        <w:rPr>
          <w:rFonts w:ascii="Century Gothic" w:hAnsi="Century Gothic"/>
        </w:rPr>
        <w:t xml:space="preserve"> CNPJ da IEQ Sede/Regional], com sede na [Endereço completo da Sede/Regional], doravante denominada simplesmente </w:t>
      </w:r>
      <w:r w:rsidRPr="00BE2F4D">
        <w:rPr>
          <w:rFonts w:ascii="Century Gothic" w:hAnsi="Century Gothic"/>
          <w:b/>
          <w:bCs/>
        </w:rPr>
        <w:t>COMODANTE</w:t>
      </w:r>
      <w:r w:rsidRPr="00BE2F4D">
        <w:rPr>
          <w:rFonts w:ascii="Century Gothic" w:hAnsi="Century Gothic"/>
        </w:rPr>
        <w:t xml:space="preserve"> </w:t>
      </w:r>
      <w:proofErr w:type="gramStart"/>
      <w:r w:rsidRPr="00BE2F4D">
        <w:rPr>
          <w:rFonts w:ascii="Century Gothic" w:hAnsi="Century Gothic"/>
        </w:rPr>
        <w:t>e,</w:t>
      </w:r>
      <w:r w:rsidR="001A3366">
        <w:rPr>
          <w:rFonts w:ascii="Century Gothic" w:hAnsi="Century Gothic"/>
        </w:rPr>
        <w:t>;</w:t>
      </w:r>
      <w:proofErr w:type="gramEnd"/>
    </w:p>
    <w:p w14:paraId="6A1C2B14" w14:textId="648D7377" w:rsidR="00BE2F4D" w:rsidRDefault="00BE2F4D" w:rsidP="00BE2F4D">
      <w:pPr>
        <w:jc w:val="both"/>
        <w:rPr>
          <w:rFonts w:ascii="Century Gothic" w:hAnsi="Century Gothic"/>
        </w:rPr>
      </w:pPr>
      <w:r w:rsidRPr="00BE2F4D">
        <w:rPr>
          <w:rFonts w:ascii="Century Gothic" w:hAnsi="Century Gothic"/>
        </w:rPr>
        <w:t xml:space="preserve">de outro lado, [Nome Completo do Obreiro/Pastor], [Nacionalidade], [Estado Civil], [Profissão - Pastor/Obreiro], portador do RG nº </w:t>
      </w:r>
      <w:proofErr w:type="gramStart"/>
      <w:r w:rsidRPr="00BE2F4D">
        <w:rPr>
          <w:rFonts w:ascii="Century Gothic" w:hAnsi="Century Gothic"/>
        </w:rPr>
        <w:t>[Inserir</w:t>
      </w:r>
      <w:proofErr w:type="gramEnd"/>
      <w:r w:rsidRPr="00BE2F4D">
        <w:rPr>
          <w:rFonts w:ascii="Century Gothic" w:hAnsi="Century Gothic"/>
        </w:rPr>
        <w:t xml:space="preserve"> RG] e do CPF nº </w:t>
      </w:r>
      <w:proofErr w:type="gramStart"/>
      <w:r w:rsidRPr="00BE2F4D">
        <w:rPr>
          <w:rFonts w:ascii="Century Gothic" w:hAnsi="Century Gothic"/>
        </w:rPr>
        <w:t>[Inserir</w:t>
      </w:r>
      <w:proofErr w:type="gramEnd"/>
      <w:r w:rsidRPr="00BE2F4D">
        <w:rPr>
          <w:rFonts w:ascii="Century Gothic" w:hAnsi="Century Gothic"/>
        </w:rPr>
        <w:t xml:space="preserve"> CPF], residente e domiciliado na [Endereço atual do obreiro], doravante denominado simplesmente </w:t>
      </w:r>
      <w:r w:rsidRPr="00BE2F4D">
        <w:rPr>
          <w:rFonts w:ascii="Century Gothic" w:hAnsi="Century Gothic"/>
          <w:b/>
          <w:bCs/>
        </w:rPr>
        <w:t>COMODATÁRIO(A)</w:t>
      </w:r>
      <w:r w:rsidRPr="00BE2F4D">
        <w:rPr>
          <w:rFonts w:ascii="Century Gothic" w:hAnsi="Century Gothic"/>
        </w:rPr>
        <w:t>, têm justo e contratado o que segue, que se regerá pelas cláusulas e condições abaixo:</w:t>
      </w:r>
    </w:p>
    <w:p w14:paraId="33E2C2A8" w14:textId="77777777" w:rsidR="001A3366" w:rsidRPr="00BE2F4D" w:rsidRDefault="001A3366" w:rsidP="00BE2F4D">
      <w:pPr>
        <w:jc w:val="both"/>
        <w:rPr>
          <w:rFonts w:ascii="Century Gothic" w:hAnsi="Century Gothic"/>
        </w:rPr>
      </w:pPr>
    </w:p>
    <w:p w14:paraId="55AD9733" w14:textId="77777777" w:rsidR="00BE2F4D" w:rsidRPr="00BE2F4D" w:rsidRDefault="00BE2F4D" w:rsidP="00BE2F4D">
      <w:pPr>
        <w:jc w:val="both"/>
        <w:rPr>
          <w:rFonts w:ascii="Century Gothic" w:hAnsi="Century Gothic"/>
          <w:b/>
          <w:bCs/>
        </w:rPr>
      </w:pPr>
      <w:r w:rsidRPr="00BE2F4D">
        <w:rPr>
          <w:rFonts w:ascii="Century Gothic" w:hAnsi="Century Gothic"/>
          <w:b/>
          <w:bCs/>
        </w:rPr>
        <w:t>CLÁUSULA PRIMEIRA - DO OBJETO E FINALIDADE</w:t>
      </w:r>
    </w:p>
    <w:p w14:paraId="7F8E5FCF" w14:textId="77777777" w:rsidR="00BE2F4D" w:rsidRPr="00BE2F4D" w:rsidRDefault="00BE2F4D" w:rsidP="00BE2F4D">
      <w:pPr>
        <w:jc w:val="both"/>
        <w:rPr>
          <w:rFonts w:ascii="Century Gothic" w:hAnsi="Century Gothic"/>
        </w:rPr>
      </w:pPr>
      <w:r w:rsidRPr="00BE2F4D">
        <w:rPr>
          <w:rFonts w:ascii="Century Gothic" w:hAnsi="Century Gothic"/>
          <w:b/>
          <w:bCs/>
        </w:rPr>
        <w:t>1.1.</w:t>
      </w:r>
      <w:r w:rsidRPr="00BE2F4D">
        <w:rPr>
          <w:rFonts w:ascii="Century Gothic" w:hAnsi="Century Gothic"/>
        </w:rPr>
        <w:t xml:space="preserve"> A COMODANTE, na qualidade de legítima proprietária do imóvel residencial situado na [Endereço completo do imóvel objeto do comodato], [Bairro], [Cidade/UF], CEP </w:t>
      </w:r>
      <w:proofErr w:type="gramStart"/>
      <w:r w:rsidRPr="00BE2F4D">
        <w:rPr>
          <w:rFonts w:ascii="Century Gothic" w:hAnsi="Century Gothic"/>
        </w:rPr>
        <w:t>[Inserir</w:t>
      </w:r>
      <w:proofErr w:type="gramEnd"/>
      <w:r w:rsidRPr="00BE2F4D">
        <w:rPr>
          <w:rFonts w:ascii="Century Gothic" w:hAnsi="Century Gothic"/>
        </w:rPr>
        <w:t xml:space="preserve"> CEP], e descrito no Cadastro Imobiliário Brasileiro (CIB) sob o nº </w:t>
      </w:r>
      <w:proofErr w:type="gramStart"/>
      <w:r w:rsidRPr="00BE2F4D">
        <w:rPr>
          <w:rFonts w:ascii="Century Gothic" w:hAnsi="Century Gothic"/>
        </w:rPr>
        <w:t>[Inserir</w:t>
      </w:r>
      <w:proofErr w:type="gramEnd"/>
      <w:r w:rsidRPr="00BE2F4D">
        <w:rPr>
          <w:rFonts w:ascii="Century Gothic" w:hAnsi="Century Gothic"/>
        </w:rPr>
        <w:t xml:space="preserve"> CIB se já disponível], cede em comodato ao COMODATÁRIO(A) o uso e gozo do referido imóvel.</w:t>
      </w:r>
    </w:p>
    <w:p w14:paraId="13FE71B4" w14:textId="77777777" w:rsidR="00BE2F4D" w:rsidRPr="00BE2F4D" w:rsidRDefault="00BE2F4D" w:rsidP="00BE2F4D">
      <w:pPr>
        <w:jc w:val="both"/>
        <w:rPr>
          <w:rFonts w:ascii="Century Gothic" w:hAnsi="Century Gothic"/>
        </w:rPr>
      </w:pPr>
      <w:r w:rsidRPr="00BE2F4D">
        <w:rPr>
          <w:rFonts w:ascii="Century Gothic" w:hAnsi="Century Gothic"/>
          <w:b/>
          <w:bCs/>
        </w:rPr>
        <w:t>1.2.</w:t>
      </w:r>
      <w:r w:rsidRPr="00BE2F4D">
        <w:rPr>
          <w:rFonts w:ascii="Century Gothic" w:hAnsi="Century Gothic"/>
        </w:rPr>
        <w:t> O presente comodato tem por </w:t>
      </w:r>
      <w:r w:rsidRPr="00BE2F4D">
        <w:rPr>
          <w:rFonts w:ascii="Century Gothic" w:hAnsi="Century Gothic"/>
          <w:b/>
          <w:bCs/>
        </w:rPr>
        <w:t>finalidade exclusiva</w:t>
      </w:r>
      <w:r w:rsidRPr="00BE2F4D">
        <w:rPr>
          <w:rFonts w:ascii="Century Gothic" w:hAnsi="Century Gothic"/>
        </w:rPr>
        <w:t> servir de residência para o(a) COMODATÁRIO(A) e sua família, em razão e enquanto perdurar o seu vínculo de serviço religioso e pastoral junto à IEQ, especificamente na [Nome da Unidade Local da Igreja, se aplicável].</w:t>
      </w:r>
    </w:p>
    <w:p w14:paraId="235CB047" w14:textId="77777777" w:rsidR="00BE2F4D" w:rsidRPr="00BE2F4D" w:rsidRDefault="00BE2F4D" w:rsidP="00BE2F4D">
      <w:pPr>
        <w:jc w:val="both"/>
        <w:rPr>
          <w:rFonts w:ascii="Century Gothic" w:hAnsi="Century Gothic"/>
        </w:rPr>
      </w:pPr>
      <w:r w:rsidRPr="00BE2F4D">
        <w:rPr>
          <w:rFonts w:ascii="Century Gothic" w:hAnsi="Century Gothic"/>
          <w:b/>
          <w:bCs/>
        </w:rPr>
        <w:t>1.3.</w:t>
      </w:r>
      <w:r w:rsidRPr="00BE2F4D">
        <w:rPr>
          <w:rFonts w:ascii="Century Gothic" w:hAnsi="Century Gothic"/>
        </w:rPr>
        <w:t xml:space="preserve"> Fica expressamente vedada a utilização do imóvel para qualquer outra finalidade que não seja a moradia do(a) obreiro(a) e sua família, </w:t>
      </w:r>
      <w:r w:rsidRPr="00BE2F4D">
        <w:rPr>
          <w:rFonts w:ascii="Century Gothic" w:hAnsi="Century Gothic"/>
        </w:rPr>
        <w:lastRenderedPageBreak/>
        <w:t>ou para o desenvolvimento de atividades comerciais, sob pena de rescisão imediata do presente termo e a consequente desocupação do imóvel.</w:t>
      </w:r>
    </w:p>
    <w:p w14:paraId="35E35BE0" w14:textId="77777777" w:rsidR="00BE2F4D" w:rsidRPr="00BE2F4D" w:rsidRDefault="00BE2F4D" w:rsidP="00BE2F4D">
      <w:pPr>
        <w:jc w:val="both"/>
        <w:rPr>
          <w:rFonts w:ascii="Century Gothic" w:hAnsi="Century Gothic"/>
          <w:b/>
          <w:bCs/>
        </w:rPr>
      </w:pPr>
      <w:r w:rsidRPr="00BE2F4D">
        <w:rPr>
          <w:rFonts w:ascii="Century Gothic" w:hAnsi="Century Gothic"/>
          <w:b/>
          <w:bCs/>
        </w:rPr>
        <w:t>CLÁUSULA SEGUNDA - DA GRATUIDADE E VIGÊNCIA</w:t>
      </w:r>
    </w:p>
    <w:p w14:paraId="6E48702C" w14:textId="77777777" w:rsidR="00BE2F4D" w:rsidRPr="00BE2F4D" w:rsidRDefault="00BE2F4D" w:rsidP="00BE2F4D">
      <w:pPr>
        <w:jc w:val="both"/>
        <w:rPr>
          <w:rFonts w:ascii="Century Gothic" w:hAnsi="Century Gothic"/>
        </w:rPr>
      </w:pPr>
      <w:r w:rsidRPr="00BE2F4D">
        <w:rPr>
          <w:rFonts w:ascii="Century Gothic" w:hAnsi="Century Gothic"/>
          <w:b/>
          <w:bCs/>
        </w:rPr>
        <w:t>2.1.</w:t>
      </w:r>
      <w:r w:rsidRPr="00BE2F4D">
        <w:rPr>
          <w:rFonts w:ascii="Century Gothic" w:hAnsi="Century Gothic"/>
        </w:rPr>
        <w:t> O presente comodato é </w:t>
      </w:r>
      <w:r w:rsidRPr="00BE2F4D">
        <w:rPr>
          <w:rFonts w:ascii="Century Gothic" w:hAnsi="Century Gothic"/>
          <w:b/>
          <w:bCs/>
        </w:rPr>
        <w:t>gratuito</w:t>
      </w:r>
      <w:r w:rsidRPr="00BE2F4D">
        <w:rPr>
          <w:rFonts w:ascii="Century Gothic" w:hAnsi="Century Gothic"/>
        </w:rPr>
        <w:t>. O COMODATÁRIO(A) não pagará à COMODANTE qualquer valor a título de aluguel ou contraprestação pelo uso do imóvel.</w:t>
      </w:r>
    </w:p>
    <w:p w14:paraId="6C0432FB" w14:textId="77777777" w:rsidR="00BE2F4D" w:rsidRPr="00BE2F4D" w:rsidRDefault="00BE2F4D" w:rsidP="00BE2F4D">
      <w:pPr>
        <w:jc w:val="both"/>
        <w:rPr>
          <w:rFonts w:ascii="Century Gothic" w:hAnsi="Century Gothic"/>
        </w:rPr>
      </w:pPr>
      <w:r w:rsidRPr="00BE2F4D">
        <w:rPr>
          <w:rFonts w:ascii="Century Gothic" w:hAnsi="Century Gothic"/>
          <w:b/>
          <w:bCs/>
        </w:rPr>
        <w:t>2.2.</w:t>
      </w:r>
      <w:r w:rsidRPr="00BE2F4D">
        <w:rPr>
          <w:rFonts w:ascii="Century Gothic" w:hAnsi="Century Gothic"/>
        </w:rPr>
        <w:t> O prazo de vigência deste instrumento é </w:t>
      </w:r>
      <w:r w:rsidRPr="00BE2F4D">
        <w:rPr>
          <w:rFonts w:ascii="Century Gothic" w:hAnsi="Century Gothic"/>
          <w:b/>
          <w:bCs/>
        </w:rPr>
        <w:t>indeterminado</w:t>
      </w:r>
      <w:r w:rsidRPr="00BE2F4D">
        <w:rPr>
          <w:rFonts w:ascii="Century Gothic" w:hAnsi="Century Gothic"/>
        </w:rPr>
        <w:t>, permanecendo válido enquanto o COMODATÁRIO(A) mantiver seu vínculo de serviço religioso ativo e na função que justifique o uso do imóvel junto à COMODANTE.</w:t>
      </w:r>
    </w:p>
    <w:p w14:paraId="7824AFB5" w14:textId="77777777" w:rsidR="00BE2F4D" w:rsidRPr="00BE2F4D" w:rsidRDefault="00BE2F4D" w:rsidP="00BE2F4D">
      <w:pPr>
        <w:jc w:val="both"/>
        <w:rPr>
          <w:rFonts w:ascii="Century Gothic" w:hAnsi="Century Gothic"/>
        </w:rPr>
      </w:pPr>
      <w:r w:rsidRPr="00BE2F4D">
        <w:rPr>
          <w:rFonts w:ascii="Century Gothic" w:hAnsi="Century Gothic"/>
          <w:b/>
          <w:bCs/>
        </w:rPr>
        <w:t>2.3.</w:t>
      </w:r>
      <w:r w:rsidRPr="00BE2F4D">
        <w:rPr>
          <w:rFonts w:ascii="Century Gothic" w:hAnsi="Century Gothic"/>
        </w:rPr>
        <w:t> Este termo será automaticamente rescindido e perderá sua validade a partir da data de desligamento formal do(a) COMODATÁRIO(A) de suas funções junto à IEQ, por qualquer motivo (transferência, renúncia, jubilação ou exclusão).</w:t>
      </w:r>
    </w:p>
    <w:p w14:paraId="32759B94" w14:textId="77777777" w:rsidR="00BE2F4D" w:rsidRPr="00BE2F4D" w:rsidRDefault="00BE2F4D" w:rsidP="00BE2F4D">
      <w:pPr>
        <w:jc w:val="both"/>
        <w:rPr>
          <w:rFonts w:ascii="Century Gothic" w:hAnsi="Century Gothic"/>
          <w:b/>
          <w:bCs/>
        </w:rPr>
      </w:pPr>
      <w:r w:rsidRPr="00BE2F4D">
        <w:rPr>
          <w:rFonts w:ascii="Century Gothic" w:hAnsi="Century Gothic"/>
          <w:b/>
          <w:bCs/>
        </w:rPr>
        <w:t>CLÁUSULA TERCEIRA - DAS DESPESAS E ENCARGOS</w:t>
      </w:r>
    </w:p>
    <w:p w14:paraId="64DE5B19" w14:textId="77777777" w:rsidR="00BE2F4D" w:rsidRPr="00BE2F4D" w:rsidRDefault="00BE2F4D" w:rsidP="00BE2F4D">
      <w:pPr>
        <w:jc w:val="both"/>
        <w:rPr>
          <w:rFonts w:ascii="Century Gothic" w:hAnsi="Century Gothic"/>
        </w:rPr>
      </w:pPr>
      <w:r w:rsidRPr="00BE2F4D">
        <w:rPr>
          <w:rFonts w:ascii="Century Gothic" w:hAnsi="Century Gothic"/>
          <w:b/>
          <w:bCs/>
        </w:rPr>
        <w:t>3.1.</w:t>
      </w:r>
      <w:r w:rsidRPr="00BE2F4D">
        <w:rPr>
          <w:rFonts w:ascii="Century Gothic" w:hAnsi="Century Gothic"/>
        </w:rPr>
        <w:t> Serão de responsabilidade exclusiva do(a) COMODATÁRIO(A) o pagamento de todas as despesas decorrentes do uso e conservação do imóvel, tais como:</w:t>
      </w:r>
    </w:p>
    <w:p w14:paraId="4159C239" w14:textId="77777777" w:rsidR="00BE2F4D" w:rsidRPr="00BE2F4D" w:rsidRDefault="00BE2F4D" w:rsidP="00BE2F4D">
      <w:pPr>
        <w:numPr>
          <w:ilvl w:val="0"/>
          <w:numId w:val="8"/>
        </w:numPr>
        <w:jc w:val="both"/>
        <w:rPr>
          <w:rFonts w:ascii="Century Gothic" w:hAnsi="Century Gothic"/>
        </w:rPr>
      </w:pPr>
      <w:r w:rsidRPr="00BE2F4D">
        <w:rPr>
          <w:rFonts w:ascii="Century Gothic" w:hAnsi="Century Gothic"/>
        </w:rPr>
        <w:t>Consumo de água, energia elétrica, gás e telefone/internet;</w:t>
      </w:r>
    </w:p>
    <w:p w14:paraId="2B7CCD04" w14:textId="77777777" w:rsidR="00BE2F4D" w:rsidRPr="00BE2F4D" w:rsidRDefault="00BE2F4D" w:rsidP="00BE2F4D">
      <w:pPr>
        <w:numPr>
          <w:ilvl w:val="0"/>
          <w:numId w:val="8"/>
        </w:numPr>
        <w:jc w:val="both"/>
        <w:rPr>
          <w:rFonts w:ascii="Century Gothic" w:hAnsi="Century Gothic"/>
        </w:rPr>
      </w:pPr>
      <w:r w:rsidRPr="00BE2F4D">
        <w:rPr>
          <w:rFonts w:ascii="Century Gothic" w:hAnsi="Century Gothic"/>
        </w:rPr>
        <w:t>Taxa de condomínio, se houver;</w:t>
      </w:r>
    </w:p>
    <w:p w14:paraId="6DD1D0CA" w14:textId="77777777" w:rsidR="00BE2F4D" w:rsidRPr="00BE2F4D" w:rsidRDefault="00BE2F4D" w:rsidP="00BE2F4D">
      <w:pPr>
        <w:numPr>
          <w:ilvl w:val="0"/>
          <w:numId w:val="8"/>
        </w:numPr>
        <w:jc w:val="both"/>
        <w:rPr>
          <w:rFonts w:ascii="Century Gothic" w:hAnsi="Century Gothic"/>
        </w:rPr>
      </w:pPr>
      <w:r w:rsidRPr="00BE2F4D">
        <w:rPr>
          <w:rFonts w:ascii="Century Gothic" w:hAnsi="Century Gothic"/>
        </w:rPr>
        <w:t>Despesas ordinárias de manutenção e limpeza do imóvel (jardinagem, pequenos reparos);</w:t>
      </w:r>
    </w:p>
    <w:p w14:paraId="2543DA62" w14:textId="77777777" w:rsidR="00BE2F4D" w:rsidRPr="00BE2F4D" w:rsidRDefault="00BE2F4D" w:rsidP="00BE2F4D">
      <w:pPr>
        <w:numPr>
          <w:ilvl w:val="0"/>
          <w:numId w:val="8"/>
        </w:numPr>
        <w:jc w:val="both"/>
        <w:rPr>
          <w:rFonts w:ascii="Century Gothic" w:hAnsi="Century Gothic"/>
        </w:rPr>
      </w:pPr>
      <w:r w:rsidRPr="00BE2F4D">
        <w:rPr>
          <w:rFonts w:ascii="Century Gothic" w:hAnsi="Century Gothic"/>
        </w:rPr>
        <w:t>Qualquer outra taxa ou encargo que incida sobre o uso do bem.</w:t>
      </w:r>
    </w:p>
    <w:p w14:paraId="371DA4F7" w14:textId="77777777" w:rsidR="00BE2F4D" w:rsidRPr="00BE2F4D" w:rsidRDefault="00BE2F4D" w:rsidP="00BE2F4D">
      <w:pPr>
        <w:jc w:val="both"/>
        <w:rPr>
          <w:rFonts w:ascii="Century Gothic" w:hAnsi="Century Gothic"/>
        </w:rPr>
      </w:pPr>
      <w:r w:rsidRPr="00BE2F4D">
        <w:rPr>
          <w:rFonts w:ascii="Century Gothic" w:hAnsi="Century Gothic"/>
          <w:b/>
          <w:bCs/>
        </w:rPr>
        <w:t>3.2.</w:t>
      </w:r>
      <w:r w:rsidRPr="00BE2F4D">
        <w:rPr>
          <w:rFonts w:ascii="Century Gothic" w:hAnsi="Century Gothic"/>
        </w:rPr>
        <w:t> O Imposto Predial e Territorial Urbano (IPTU) é de responsabilidade da COMODANTE (IEQ), que goza de imunidade tributária, devendo o COMODATÁRIO(A) informar imediatamente à COMODANTE caso receba qualquer notificação de cobrança indevida.</w:t>
      </w:r>
    </w:p>
    <w:p w14:paraId="074E5686" w14:textId="77777777" w:rsidR="00BE2F4D" w:rsidRPr="00BE2F4D" w:rsidRDefault="00BE2F4D" w:rsidP="00BE2F4D">
      <w:pPr>
        <w:jc w:val="both"/>
        <w:rPr>
          <w:rFonts w:ascii="Century Gothic" w:hAnsi="Century Gothic"/>
          <w:b/>
          <w:bCs/>
        </w:rPr>
      </w:pPr>
      <w:r w:rsidRPr="00BE2F4D">
        <w:rPr>
          <w:rFonts w:ascii="Century Gothic" w:hAnsi="Century Gothic"/>
          <w:b/>
          <w:bCs/>
        </w:rPr>
        <w:t>CLÁUSULA QUARTA - DA CONSERVAÇÃO E BENFEITORIAS</w:t>
      </w:r>
    </w:p>
    <w:p w14:paraId="635A0E65" w14:textId="77777777" w:rsidR="00BE2F4D" w:rsidRPr="00BE2F4D" w:rsidRDefault="00BE2F4D" w:rsidP="00BE2F4D">
      <w:pPr>
        <w:jc w:val="both"/>
        <w:rPr>
          <w:rFonts w:ascii="Century Gothic" w:hAnsi="Century Gothic"/>
        </w:rPr>
      </w:pPr>
      <w:r w:rsidRPr="00BE2F4D">
        <w:rPr>
          <w:rFonts w:ascii="Century Gothic" w:hAnsi="Century Gothic"/>
          <w:b/>
          <w:bCs/>
        </w:rPr>
        <w:t>4.1.</w:t>
      </w:r>
      <w:r w:rsidRPr="00BE2F4D">
        <w:rPr>
          <w:rFonts w:ascii="Century Gothic" w:hAnsi="Century Gothic"/>
        </w:rPr>
        <w:t> O COMODATÁRIO(A) recebe o imóvel em bom estado de conservação, conforme laudo de vistoria anexo (que deve ser feito!), e compromete-se a zelar por ele como se fosse seu, restituindo-o nas mesmas condições quando da rescisão do comodato.</w:t>
      </w:r>
    </w:p>
    <w:p w14:paraId="10E72FFB" w14:textId="77777777" w:rsidR="00BE2F4D" w:rsidRPr="00BE2F4D" w:rsidRDefault="00BE2F4D" w:rsidP="00BE2F4D">
      <w:pPr>
        <w:jc w:val="both"/>
        <w:rPr>
          <w:rFonts w:ascii="Century Gothic" w:hAnsi="Century Gothic"/>
        </w:rPr>
      </w:pPr>
      <w:r w:rsidRPr="00BE2F4D">
        <w:rPr>
          <w:rFonts w:ascii="Century Gothic" w:hAnsi="Century Gothic"/>
          <w:b/>
          <w:bCs/>
        </w:rPr>
        <w:lastRenderedPageBreak/>
        <w:t>4.2.</w:t>
      </w:r>
      <w:r w:rsidRPr="00BE2F4D">
        <w:rPr>
          <w:rFonts w:ascii="Century Gothic" w:hAnsi="Century Gothic"/>
        </w:rPr>
        <w:t> Quaisquer benfeitorias ou reformas realizadas pelo(a) COMODATÁRIO(A) no imóvel, ainda que necessárias ou úteis, deverão ser previamente autorizadas por escrito pela COMODANTE e, ao final do comodato, serão incorporadas ao imóvel, sem direito a retenção ou indenização.</w:t>
      </w:r>
    </w:p>
    <w:p w14:paraId="10286A42" w14:textId="77777777" w:rsidR="00BE2F4D" w:rsidRPr="00BE2F4D" w:rsidRDefault="00BE2F4D" w:rsidP="00BE2F4D">
      <w:pPr>
        <w:jc w:val="both"/>
        <w:rPr>
          <w:rFonts w:ascii="Century Gothic" w:hAnsi="Century Gothic"/>
          <w:b/>
          <w:bCs/>
        </w:rPr>
      </w:pPr>
      <w:r w:rsidRPr="00BE2F4D">
        <w:rPr>
          <w:rFonts w:ascii="Century Gothic" w:hAnsi="Century Gothic"/>
          <w:b/>
          <w:bCs/>
        </w:rPr>
        <w:t>CLÁUSULA QUINTA - DA RESTITUIÇÃO</w:t>
      </w:r>
    </w:p>
    <w:p w14:paraId="798110AF" w14:textId="77777777" w:rsidR="00BE2F4D" w:rsidRPr="00BE2F4D" w:rsidRDefault="00BE2F4D" w:rsidP="00BE2F4D">
      <w:pPr>
        <w:jc w:val="both"/>
        <w:rPr>
          <w:rFonts w:ascii="Century Gothic" w:hAnsi="Century Gothic"/>
        </w:rPr>
      </w:pPr>
      <w:r w:rsidRPr="00BE2F4D">
        <w:rPr>
          <w:rFonts w:ascii="Century Gothic" w:hAnsi="Century Gothic"/>
          <w:b/>
          <w:bCs/>
        </w:rPr>
        <w:t>5.1.</w:t>
      </w:r>
      <w:r w:rsidRPr="00BE2F4D">
        <w:rPr>
          <w:rFonts w:ascii="Century Gothic" w:hAnsi="Century Gothic"/>
        </w:rPr>
        <w:t> Cessado o vínculo funcional ou por decisão da COMODANTE (mediante aviso prévio de 30 dias, se não houver justa causa grave), o(a) COMODATÁRIO(A) obriga-se a restituir o imóvel livre e desocupado, em até </w:t>
      </w:r>
      <w:r w:rsidRPr="00BE2F4D">
        <w:rPr>
          <w:rFonts w:ascii="Century Gothic" w:hAnsi="Century Gothic"/>
          <w:b/>
          <w:bCs/>
        </w:rPr>
        <w:t>30 (trinta) dias</w:t>
      </w:r>
      <w:r w:rsidRPr="00BE2F4D">
        <w:rPr>
          <w:rFonts w:ascii="Century Gothic" w:hAnsi="Century Gothic"/>
        </w:rPr>
        <w:t> da notificação ou do desligamento formal.</w:t>
      </w:r>
    </w:p>
    <w:p w14:paraId="6769F7F1" w14:textId="77777777" w:rsidR="00BE2F4D" w:rsidRPr="00BE2F4D" w:rsidRDefault="00BE2F4D" w:rsidP="00BE2F4D">
      <w:pPr>
        <w:jc w:val="both"/>
        <w:rPr>
          <w:rFonts w:ascii="Century Gothic" w:hAnsi="Century Gothic"/>
        </w:rPr>
      </w:pPr>
      <w:r w:rsidRPr="00BE2F4D">
        <w:rPr>
          <w:rFonts w:ascii="Century Gothic" w:hAnsi="Century Gothic"/>
          <w:b/>
          <w:bCs/>
        </w:rPr>
        <w:t>5.2.</w:t>
      </w:r>
      <w:r w:rsidRPr="00BE2F4D">
        <w:rPr>
          <w:rFonts w:ascii="Century Gothic" w:hAnsi="Century Gothic"/>
        </w:rPr>
        <w:t> Em caso de não desocupação no prazo estipulado, o(a) COMODATÁRIO(A) incorrerá em mora, sujeitando-se às medidas judiciais cabíveis (Ação de Reintegração de Posse), arcando com custas processuais e honorários advocatícios.</w:t>
      </w:r>
    </w:p>
    <w:p w14:paraId="6759C7D1" w14:textId="77777777" w:rsidR="00BE2F4D" w:rsidRPr="00BE2F4D" w:rsidRDefault="00BE2F4D" w:rsidP="00BE2F4D">
      <w:pPr>
        <w:jc w:val="both"/>
        <w:rPr>
          <w:rFonts w:ascii="Century Gothic" w:hAnsi="Century Gothic"/>
          <w:b/>
          <w:bCs/>
        </w:rPr>
      </w:pPr>
      <w:r w:rsidRPr="00BE2F4D">
        <w:rPr>
          <w:rFonts w:ascii="Century Gothic" w:hAnsi="Century Gothic"/>
          <w:b/>
          <w:bCs/>
        </w:rPr>
        <w:t>CLÁUSULA SEXTA - DO FORO</w:t>
      </w:r>
    </w:p>
    <w:p w14:paraId="7A539302" w14:textId="77777777" w:rsidR="00BE2F4D" w:rsidRPr="00BE2F4D" w:rsidRDefault="00BE2F4D" w:rsidP="00BE2F4D">
      <w:pPr>
        <w:jc w:val="both"/>
        <w:rPr>
          <w:rFonts w:ascii="Century Gothic" w:hAnsi="Century Gothic"/>
        </w:rPr>
      </w:pPr>
      <w:r w:rsidRPr="00BE2F4D">
        <w:rPr>
          <w:rFonts w:ascii="Century Gothic" w:hAnsi="Century Gothic"/>
          <w:b/>
          <w:bCs/>
        </w:rPr>
        <w:t>6.1.</w:t>
      </w:r>
      <w:r w:rsidRPr="00BE2F4D">
        <w:rPr>
          <w:rFonts w:ascii="Century Gothic" w:hAnsi="Century Gothic"/>
        </w:rPr>
        <w:t> Para dirimir quaisquer dúvidas ou litígios decorrentes deste termo, as partes elegem o foro da Comarca de [Inserir Cidade/UF da localização do imóvel ou da sede da igreja], com renúncia a qualquer outro, por mais privilegiado que seja.</w:t>
      </w:r>
    </w:p>
    <w:p w14:paraId="733BBE1E" w14:textId="77777777" w:rsidR="00BE2F4D" w:rsidRPr="00BE2F4D" w:rsidRDefault="00BE2F4D" w:rsidP="00BE2F4D">
      <w:pPr>
        <w:jc w:val="both"/>
        <w:rPr>
          <w:rFonts w:ascii="Century Gothic" w:hAnsi="Century Gothic"/>
        </w:rPr>
      </w:pPr>
      <w:r w:rsidRPr="00BE2F4D">
        <w:rPr>
          <w:rFonts w:ascii="Century Gothic" w:hAnsi="Century Gothic"/>
        </w:rPr>
        <w:t>E, por estarem assim justos e contratados, firmam o presente instrumento em 02 (duas) vias de igual teor e forma, na presença das testemunhas abaixo.</w:t>
      </w:r>
    </w:p>
    <w:p w14:paraId="55F9719E" w14:textId="77777777" w:rsidR="00BE2F4D" w:rsidRPr="00BE2F4D" w:rsidRDefault="00BE2F4D" w:rsidP="00BE2F4D">
      <w:pPr>
        <w:jc w:val="both"/>
        <w:rPr>
          <w:rFonts w:ascii="Century Gothic" w:hAnsi="Century Gothic"/>
        </w:rPr>
      </w:pPr>
      <w:r w:rsidRPr="00BE2F4D">
        <w:rPr>
          <w:rFonts w:ascii="Century Gothic" w:hAnsi="Century Gothic"/>
        </w:rPr>
        <w:t xml:space="preserve">[Localidade], 16 de </w:t>
      </w:r>
      <w:proofErr w:type="gramStart"/>
      <w:r w:rsidRPr="00BE2F4D">
        <w:rPr>
          <w:rFonts w:ascii="Century Gothic" w:hAnsi="Century Gothic"/>
        </w:rPr>
        <w:t>Dezembro</w:t>
      </w:r>
      <w:proofErr w:type="gramEnd"/>
      <w:r w:rsidRPr="00BE2F4D">
        <w:rPr>
          <w:rFonts w:ascii="Century Gothic" w:hAnsi="Century Gothic"/>
        </w:rPr>
        <w:t xml:space="preserve"> de 2025.</w:t>
      </w:r>
    </w:p>
    <w:p w14:paraId="7FDF0B6C" w14:textId="77777777" w:rsidR="001A3366" w:rsidRDefault="001A3366" w:rsidP="00BE2F4D">
      <w:pPr>
        <w:jc w:val="both"/>
        <w:rPr>
          <w:rFonts w:ascii="Century Gothic" w:hAnsi="Century Gothic"/>
          <w:b/>
          <w:bCs/>
        </w:rPr>
      </w:pPr>
    </w:p>
    <w:p w14:paraId="5EE79496" w14:textId="1D527855" w:rsidR="00BE2F4D" w:rsidRPr="00BE2F4D" w:rsidRDefault="00BE2F4D" w:rsidP="00BE2F4D">
      <w:pPr>
        <w:jc w:val="both"/>
        <w:rPr>
          <w:rFonts w:ascii="Century Gothic" w:hAnsi="Century Gothic"/>
        </w:rPr>
      </w:pPr>
      <w:r w:rsidRPr="00BE2F4D">
        <w:rPr>
          <w:rFonts w:ascii="Century Gothic" w:hAnsi="Century Gothic"/>
          <w:b/>
          <w:bCs/>
        </w:rPr>
        <w:t>COMODANTE (IGREJA DO EVANGELHO QUADRANGULAR)</w:t>
      </w:r>
    </w:p>
    <w:p w14:paraId="6C7CA88C" w14:textId="77777777" w:rsidR="00BE2F4D" w:rsidRPr="00BE2F4D" w:rsidRDefault="00BE2F4D" w:rsidP="00C743BB">
      <w:pPr>
        <w:rPr>
          <w:rFonts w:ascii="Century Gothic" w:hAnsi="Century Gothic"/>
        </w:rPr>
      </w:pPr>
      <w:r w:rsidRPr="00BE2F4D">
        <w:rPr>
          <w:rFonts w:ascii="Century Gothic" w:hAnsi="Century Gothic"/>
        </w:rPr>
        <w:t xml:space="preserve">[Nome do Representante Legal, </w:t>
      </w:r>
      <w:proofErr w:type="spellStart"/>
      <w:r w:rsidRPr="00BE2F4D">
        <w:rPr>
          <w:rFonts w:ascii="Century Gothic" w:hAnsi="Century Gothic"/>
        </w:rPr>
        <w:t>Ex</w:t>
      </w:r>
      <w:proofErr w:type="spellEnd"/>
      <w:r w:rsidRPr="00BE2F4D">
        <w:rPr>
          <w:rFonts w:ascii="Century Gothic" w:hAnsi="Century Gothic"/>
        </w:rPr>
        <w:t>: Pr. Roberto Ramos]</w:t>
      </w:r>
      <w:r w:rsidRPr="00BE2F4D">
        <w:rPr>
          <w:rFonts w:ascii="Century Gothic" w:hAnsi="Century Gothic"/>
        </w:rPr>
        <w:br/>
        <w:t>[Cargo/Qualificação]</w:t>
      </w:r>
    </w:p>
    <w:p w14:paraId="114940EB" w14:textId="77777777" w:rsidR="001A3366" w:rsidRDefault="001A3366" w:rsidP="00BE2F4D">
      <w:pPr>
        <w:jc w:val="both"/>
        <w:rPr>
          <w:rFonts w:ascii="Century Gothic" w:hAnsi="Century Gothic"/>
          <w:b/>
          <w:bCs/>
        </w:rPr>
      </w:pPr>
    </w:p>
    <w:p w14:paraId="055AECD0" w14:textId="2AC6376E" w:rsidR="00BE2F4D" w:rsidRPr="00BE2F4D" w:rsidRDefault="00BE2F4D" w:rsidP="00BE2F4D">
      <w:pPr>
        <w:jc w:val="both"/>
        <w:rPr>
          <w:rFonts w:ascii="Century Gothic" w:hAnsi="Century Gothic"/>
        </w:rPr>
      </w:pPr>
      <w:r w:rsidRPr="00BE2F4D">
        <w:rPr>
          <w:rFonts w:ascii="Century Gothic" w:hAnsi="Century Gothic"/>
          <w:b/>
          <w:bCs/>
        </w:rPr>
        <w:t>COMODATÁRIO(A)</w:t>
      </w:r>
    </w:p>
    <w:p w14:paraId="0C3B950C" w14:textId="122BEF24" w:rsidR="00BE2F4D" w:rsidRPr="00BE2F4D" w:rsidRDefault="00BE2F4D" w:rsidP="00BE2F4D">
      <w:pPr>
        <w:jc w:val="both"/>
        <w:rPr>
          <w:rFonts w:ascii="Century Gothic" w:hAnsi="Century Gothic"/>
        </w:rPr>
      </w:pPr>
    </w:p>
    <w:p w14:paraId="64D1AAA6" w14:textId="77777777" w:rsidR="00BE2F4D" w:rsidRPr="00BE2F4D" w:rsidRDefault="00BE2F4D" w:rsidP="00BE2F4D">
      <w:pPr>
        <w:rPr>
          <w:rFonts w:ascii="Century Gothic" w:hAnsi="Century Gothic"/>
        </w:rPr>
      </w:pPr>
      <w:r w:rsidRPr="00BE2F4D">
        <w:rPr>
          <w:rFonts w:ascii="Century Gothic" w:hAnsi="Century Gothic"/>
        </w:rPr>
        <w:t>[Nome Completo do Obreiro/Pastor]</w:t>
      </w:r>
      <w:r w:rsidRPr="00BE2F4D">
        <w:rPr>
          <w:rFonts w:ascii="Century Gothic" w:hAnsi="Century Gothic"/>
        </w:rPr>
        <w:br/>
        <w:t xml:space="preserve">CPF: </w:t>
      </w:r>
      <w:proofErr w:type="gramStart"/>
      <w:r w:rsidRPr="00BE2F4D">
        <w:rPr>
          <w:rFonts w:ascii="Century Gothic" w:hAnsi="Century Gothic"/>
        </w:rPr>
        <w:t>[Inserir</w:t>
      </w:r>
      <w:proofErr w:type="gramEnd"/>
      <w:r w:rsidRPr="00BE2F4D">
        <w:rPr>
          <w:rFonts w:ascii="Century Gothic" w:hAnsi="Century Gothic"/>
        </w:rPr>
        <w:t xml:space="preserve"> CPF]</w:t>
      </w:r>
    </w:p>
    <w:p w14:paraId="5A8C9279" w14:textId="77777777" w:rsidR="00BE2F4D" w:rsidRPr="00BE2F4D" w:rsidRDefault="00BE2F4D" w:rsidP="00BE2F4D">
      <w:pPr>
        <w:rPr>
          <w:rFonts w:ascii="Century Gothic" w:hAnsi="Century Gothic"/>
        </w:rPr>
      </w:pPr>
      <w:r w:rsidRPr="00BE2F4D">
        <w:rPr>
          <w:rFonts w:ascii="Century Gothic" w:hAnsi="Century Gothic"/>
          <w:b/>
          <w:bCs/>
        </w:rPr>
        <w:lastRenderedPageBreak/>
        <w:t>TESTEMUNHAS</w:t>
      </w:r>
      <w:r w:rsidRPr="00BE2F4D">
        <w:rPr>
          <w:rFonts w:ascii="Century Gothic" w:hAnsi="Century Gothic"/>
        </w:rPr>
        <w:t> (Necessário para validade jurídica e execução extrajudicial)</w:t>
      </w:r>
    </w:p>
    <w:p w14:paraId="5DDC0293" w14:textId="77777777" w:rsidR="00BE2F4D" w:rsidRPr="00BE2F4D" w:rsidRDefault="00BE2F4D" w:rsidP="00BE2F4D">
      <w:pPr>
        <w:numPr>
          <w:ilvl w:val="0"/>
          <w:numId w:val="9"/>
        </w:numPr>
        <w:jc w:val="both"/>
        <w:rPr>
          <w:rFonts w:ascii="Century Gothic" w:hAnsi="Century Gothic"/>
        </w:rPr>
      </w:pPr>
      <w:r w:rsidRPr="00BE2F4D">
        <w:rPr>
          <w:rFonts w:ascii="Century Gothic" w:hAnsi="Century Gothic"/>
        </w:rPr>
        <w:pict w14:anchorId="7252192F">
          <v:rect id="_x0000_i1088" style="width:0;height:.75pt" o:hralign="center" o:hrstd="t" o:hr="t" fillcolor="#a0a0a0" stroked="f"/>
        </w:pict>
      </w:r>
    </w:p>
    <w:p w14:paraId="5C5B9A57" w14:textId="77777777" w:rsidR="00BE2F4D" w:rsidRPr="00BE2F4D" w:rsidRDefault="00BE2F4D" w:rsidP="00BE2F4D">
      <w:pPr>
        <w:rPr>
          <w:rFonts w:ascii="Century Gothic" w:hAnsi="Century Gothic"/>
        </w:rPr>
      </w:pPr>
      <w:r w:rsidRPr="00BE2F4D">
        <w:rPr>
          <w:rFonts w:ascii="Century Gothic" w:hAnsi="Century Gothic"/>
        </w:rPr>
        <w:t>Nome: [Nome da Testemunha 1]</w:t>
      </w:r>
      <w:r w:rsidRPr="00BE2F4D">
        <w:rPr>
          <w:rFonts w:ascii="Century Gothic" w:hAnsi="Century Gothic"/>
        </w:rPr>
        <w:br/>
        <w:t>CPF: [CPF da Testemunha 1]</w:t>
      </w:r>
    </w:p>
    <w:p w14:paraId="413CECBF" w14:textId="77777777" w:rsidR="00BE2F4D" w:rsidRPr="00BE2F4D" w:rsidRDefault="00BE2F4D" w:rsidP="00BE2F4D">
      <w:pPr>
        <w:numPr>
          <w:ilvl w:val="0"/>
          <w:numId w:val="9"/>
        </w:numPr>
        <w:jc w:val="both"/>
        <w:rPr>
          <w:rFonts w:ascii="Century Gothic" w:hAnsi="Century Gothic"/>
        </w:rPr>
      </w:pPr>
      <w:r w:rsidRPr="00BE2F4D">
        <w:rPr>
          <w:rFonts w:ascii="Century Gothic" w:hAnsi="Century Gothic"/>
        </w:rPr>
        <w:pict w14:anchorId="529D02AE">
          <v:rect id="_x0000_i1089" style="width:0;height:.75pt" o:hralign="center" o:hrstd="t" o:hr="t" fillcolor="#a0a0a0" stroked="f"/>
        </w:pict>
      </w:r>
    </w:p>
    <w:p w14:paraId="59533FDD" w14:textId="77777777" w:rsidR="00BE2F4D" w:rsidRPr="00BE2F4D" w:rsidRDefault="00BE2F4D" w:rsidP="00BE2F4D">
      <w:pPr>
        <w:rPr>
          <w:rFonts w:ascii="Century Gothic" w:hAnsi="Century Gothic"/>
        </w:rPr>
      </w:pPr>
      <w:r w:rsidRPr="00BE2F4D">
        <w:rPr>
          <w:rFonts w:ascii="Century Gothic" w:hAnsi="Century Gothic"/>
        </w:rPr>
        <w:t>Nome: [Nome da Testemunha 2]</w:t>
      </w:r>
      <w:r w:rsidRPr="00BE2F4D">
        <w:rPr>
          <w:rFonts w:ascii="Century Gothic" w:hAnsi="Century Gothic"/>
        </w:rPr>
        <w:br/>
        <w:t>CPF: [CPF da Testemunha 2]</w:t>
      </w:r>
    </w:p>
    <w:p w14:paraId="405B8A46" w14:textId="77777777" w:rsidR="00252C57" w:rsidRDefault="00252C57" w:rsidP="00BE2F4D">
      <w:pPr>
        <w:jc w:val="both"/>
        <w:rPr>
          <w:rFonts w:ascii="Century Gothic" w:hAnsi="Century Gothic"/>
        </w:rPr>
      </w:pPr>
    </w:p>
    <w:p w14:paraId="31952C0E" w14:textId="77777777" w:rsidR="001A3366" w:rsidRDefault="001A3366" w:rsidP="00BE2F4D">
      <w:pPr>
        <w:jc w:val="both"/>
        <w:rPr>
          <w:rFonts w:ascii="Century Gothic" w:hAnsi="Century Gothic"/>
        </w:rPr>
      </w:pPr>
    </w:p>
    <w:p w14:paraId="0A4595DC" w14:textId="095F01B1" w:rsidR="001A3366" w:rsidRDefault="001A3366" w:rsidP="00BE2F4D">
      <w:pPr>
        <w:jc w:val="both"/>
        <w:rPr>
          <w:rFonts w:ascii="Century Gothic" w:hAnsi="Century Gothic"/>
        </w:rPr>
      </w:pPr>
      <w:r>
        <w:rPr>
          <w:rFonts w:ascii="Century Gothic" w:hAnsi="Century Gothic"/>
        </w:rPr>
        <w:t>+++++++++++++</w:t>
      </w:r>
    </w:p>
    <w:p w14:paraId="2C82AD28" w14:textId="77777777" w:rsidR="001A3366" w:rsidRPr="001A3366" w:rsidRDefault="001A3366" w:rsidP="001A3366">
      <w:pPr>
        <w:jc w:val="both"/>
        <w:rPr>
          <w:rFonts w:ascii="Century Gothic" w:hAnsi="Century Gothic"/>
        </w:rPr>
      </w:pPr>
      <w:r w:rsidRPr="001A3366">
        <w:rPr>
          <w:rFonts w:ascii="Century Gothic" w:hAnsi="Century Gothic"/>
        </w:rPr>
        <w:t>Para os imóveis utilizados exclusivamente como </w:t>
      </w:r>
      <w:r w:rsidRPr="001A3366">
        <w:rPr>
          <w:rFonts w:ascii="Century Gothic" w:hAnsi="Century Gothic"/>
          <w:b/>
          <w:bCs/>
        </w:rPr>
        <w:t>templo religioso</w:t>
      </w:r>
      <w:r w:rsidRPr="001A3366">
        <w:rPr>
          <w:rFonts w:ascii="Century Gothic" w:hAnsi="Century Gothic"/>
        </w:rPr>
        <w:t>, a situação é a mais simples e segura do ponto de vista tributário, pois a imunidade é plena e direta.</w:t>
      </w:r>
    </w:p>
    <w:p w14:paraId="2C399426" w14:textId="77777777" w:rsidR="001A3366" w:rsidRPr="001A3366" w:rsidRDefault="001A3366" w:rsidP="001A3366">
      <w:pPr>
        <w:jc w:val="both"/>
        <w:rPr>
          <w:rFonts w:ascii="Century Gothic" w:hAnsi="Century Gothic"/>
        </w:rPr>
      </w:pPr>
      <w:r w:rsidRPr="001A3366">
        <w:rPr>
          <w:rFonts w:ascii="Century Gothic" w:hAnsi="Century Gothic"/>
        </w:rPr>
        <w:t>As recomendações são focadas na </w:t>
      </w:r>
      <w:r w:rsidRPr="001A3366">
        <w:rPr>
          <w:rFonts w:ascii="Century Gothic" w:hAnsi="Century Gothic"/>
          <w:b/>
          <w:bCs/>
        </w:rPr>
        <w:t>blindagem documental e cadastral</w:t>
      </w:r>
      <w:r w:rsidRPr="001A3366">
        <w:rPr>
          <w:rFonts w:ascii="Century Gothic" w:hAnsi="Century Gothic"/>
        </w:rPr>
        <w:t>, garantindo que não haja qualquer dúvida sobre a finalidade do imóvel.</w:t>
      </w:r>
    </w:p>
    <w:p w14:paraId="37F54D9F" w14:textId="77777777" w:rsidR="001A3366" w:rsidRPr="001A3366" w:rsidRDefault="001A3366" w:rsidP="001A3366">
      <w:pPr>
        <w:jc w:val="both"/>
        <w:rPr>
          <w:rFonts w:ascii="Century Gothic" w:hAnsi="Century Gothic"/>
          <w:b/>
          <w:bCs/>
        </w:rPr>
      </w:pPr>
      <w:r w:rsidRPr="001A3366">
        <w:rPr>
          <w:rFonts w:ascii="Century Gothic" w:hAnsi="Century Gothic"/>
          <w:b/>
          <w:bCs/>
        </w:rPr>
        <w:t>Recomendações para Imóveis Exclusivamente Usados como Templo</w:t>
      </w:r>
    </w:p>
    <w:p w14:paraId="58AFA21B" w14:textId="77777777" w:rsidR="001A3366" w:rsidRPr="001A3366" w:rsidRDefault="001A3366" w:rsidP="001A3366">
      <w:pPr>
        <w:numPr>
          <w:ilvl w:val="0"/>
          <w:numId w:val="10"/>
        </w:numPr>
        <w:jc w:val="both"/>
        <w:rPr>
          <w:rFonts w:ascii="Century Gothic" w:hAnsi="Century Gothic"/>
        </w:rPr>
      </w:pPr>
      <w:r w:rsidRPr="001A3366">
        <w:rPr>
          <w:rFonts w:ascii="Century Gothic" w:hAnsi="Century Gothic"/>
          <w:b/>
          <w:bCs/>
        </w:rPr>
        <w:t>Garantir a Titularidade e o Cadastro Correto (Foco Principal):</w:t>
      </w:r>
    </w:p>
    <w:p w14:paraId="64EABB60" w14:textId="77777777" w:rsidR="001A3366" w:rsidRPr="001A3366" w:rsidRDefault="001A3366" w:rsidP="001A3366">
      <w:pPr>
        <w:numPr>
          <w:ilvl w:val="1"/>
          <w:numId w:val="11"/>
        </w:numPr>
        <w:jc w:val="both"/>
        <w:rPr>
          <w:rFonts w:ascii="Century Gothic" w:hAnsi="Century Gothic"/>
        </w:rPr>
      </w:pPr>
      <w:r w:rsidRPr="001A3366">
        <w:rPr>
          <w:rFonts w:ascii="Century Gothic" w:hAnsi="Century Gothic"/>
          <w:b/>
          <w:bCs/>
        </w:rPr>
        <w:t>Registro de Imóveis:</w:t>
      </w:r>
      <w:r w:rsidRPr="001A3366">
        <w:rPr>
          <w:rFonts w:ascii="Century Gothic" w:hAnsi="Century Gothic"/>
        </w:rPr>
        <w:t> O imóvel deve estar registrado no Cartório de Registro de Imóveis (CRI) em nome da </w:t>
      </w:r>
      <w:r w:rsidRPr="001A3366">
        <w:rPr>
          <w:rFonts w:ascii="Century Gothic" w:hAnsi="Century Gothic"/>
          <w:b/>
          <w:bCs/>
        </w:rPr>
        <w:t>Igreja do Evangelho Quadrangular</w:t>
      </w:r>
      <w:r w:rsidRPr="001A3366">
        <w:rPr>
          <w:rFonts w:ascii="Century Gothic" w:hAnsi="Century Gothic"/>
        </w:rPr>
        <w:t> (CNPJ correto). A titularidade é o primeiro ponto de verificação.</w:t>
      </w:r>
    </w:p>
    <w:p w14:paraId="1C233C5A" w14:textId="77777777" w:rsidR="001A3366" w:rsidRPr="001A3366" w:rsidRDefault="001A3366" w:rsidP="001A3366">
      <w:pPr>
        <w:numPr>
          <w:ilvl w:val="1"/>
          <w:numId w:val="12"/>
        </w:numPr>
        <w:jc w:val="both"/>
        <w:rPr>
          <w:rFonts w:ascii="Century Gothic" w:hAnsi="Century Gothic"/>
        </w:rPr>
      </w:pPr>
      <w:r w:rsidRPr="001A3366">
        <w:rPr>
          <w:rFonts w:ascii="Century Gothic" w:hAnsi="Century Gothic"/>
          <w:b/>
          <w:bCs/>
        </w:rPr>
        <w:t>Cadastro Municipal (IPTU):</w:t>
      </w:r>
      <w:r w:rsidRPr="001A3366">
        <w:rPr>
          <w:rFonts w:ascii="Century Gothic" w:hAnsi="Century Gothic"/>
        </w:rPr>
        <w:t> O cadastro na Prefeitura deve estar atualizado, e a igreja já deve ter o reconhecimento da imunidade do IPTU. Se a igreja ainda paga IPTU de algum templo, o jurídico deve imediatamente solicitar o reconhecimento administrativo da imunidade e a restituição dos valores pagos indevidamente nos últimos 5 anos.</w:t>
      </w:r>
    </w:p>
    <w:p w14:paraId="0ECF0072" w14:textId="77777777" w:rsidR="001A3366" w:rsidRPr="001A3366" w:rsidRDefault="001A3366" w:rsidP="001A3366">
      <w:pPr>
        <w:numPr>
          <w:ilvl w:val="1"/>
          <w:numId w:val="13"/>
        </w:numPr>
        <w:jc w:val="both"/>
        <w:rPr>
          <w:rFonts w:ascii="Century Gothic" w:hAnsi="Century Gothic"/>
        </w:rPr>
      </w:pPr>
      <w:r w:rsidRPr="001A3366">
        <w:rPr>
          <w:rFonts w:ascii="Century Gothic" w:hAnsi="Century Gothic"/>
          <w:b/>
          <w:bCs/>
        </w:rPr>
        <w:t>SINTER/CIB (2026):</w:t>
      </w:r>
      <w:r w:rsidRPr="001A3366">
        <w:rPr>
          <w:rFonts w:ascii="Century Gothic" w:hAnsi="Century Gothic"/>
        </w:rPr>
        <w:t> No ano de testes (2026), o cadastro no novo sistema (CIB) deverá ser preenchido, indicando claramente a </w:t>
      </w:r>
      <w:r w:rsidRPr="001A3366">
        <w:rPr>
          <w:rFonts w:ascii="Century Gothic" w:hAnsi="Century Gothic"/>
          <w:b/>
          <w:bCs/>
        </w:rPr>
        <w:t>destinação exclusiva como "Templo/Uso Religioso"</w:t>
      </w:r>
      <w:r w:rsidRPr="001A3366">
        <w:rPr>
          <w:rFonts w:ascii="Century Gothic" w:hAnsi="Century Gothic"/>
        </w:rPr>
        <w:t>.</w:t>
      </w:r>
    </w:p>
    <w:p w14:paraId="3650CE49" w14:textId="77777777" w:rsidR="001A3366" w:rsidRPr="001A3366" w:rsidRDefault="001A3366" w:rsidP="001A3366">
      <w:pPr>
        <w:numPr>
          <w:ilvl w:val="0"/>
          <w:numId w:val="10"/>
        </w:numPr>
        <w:jc w:val="both"/>
        <w:rPr>
          <w:rFonts w:ascii="Century Gothic" w:hAnsi="Century Gothic"/>
        </w:rPr>
      </w:pPr>
      <w:r w:rsidRPr="001A3366">
        <w:rPr>
          <w:rFonts w:ascii="Century Gothic" w:hAnsi="Century Gothic"/>
          <w:b/>
          <w:bCs/>
        </w:rPr>
        <w:t>Manutenção da Atividade Exclusiva:</w:t>
      </w:r>
    </w:p>
    <w:p w14:paraId="55069B30" w14:textId="77777777" w:rsidR="001A3366" w:rsidRPr="001A3366" w:rsidRDefault="001A3366" w:rsidP="001A3366">
      <w:pPr>
        <w:numPr>
          <w:ilvl w:val="1"/>
          <w:numId w:val="14"/>
        </w:numPr>
        <w:jc w:val="both"/>
        <w:rPr>
          <w:rFonts w:ascii="Century Gothic" w:hAnsi="Century Gothic"/>
        </w:rPr>
      </w:pPr>
      <w:r w:rsidRPr="001A3366">
        <w:rPr>
          <w:rFonts w:ascii="Century Gothic" w:hAnsi="Century Gothic"/>
        </w:rPr>
        <w:lastRenderedPageBreak/>
        <w:t>O imóvel deve ser usado </w:t>
      </w:r>
      <w:r w:rsidRPr="001A3366">
        <w:rPr>
          <w:rFonts w:ascii="Century Gothic" w:hAnsi="Century Gothic"/>
          <w:b/>
          <w:bCs/>
        </w:rPr>
        <w:t>apenas como templo</w:t>
      </w:r>
      <w:r w:rsidRPr="001A3366">
        <w:rPr>
          <w:rFonts w:ascii="Century Gothic" w:hAnsi="Century Gothic"/>
        </w:rPr>
        <w:t>.</w:t>
      </w:r>
    </w:p>
    <w:p w14:paraId="797C6404" w14:textId="77777777" w:rsidR="001A3366" w:rsidRPr="001A3366" w:rsidRDefault="001A3366" w:rsidP="001A3366">
      <w:pPr>
        <w:numPr>
          <w:ilvl w:val="1"/>
          <w:numId w:val="15"/>
        </w:numPr>
        <w:jc w:val="both"/>
        <w:rPr>
          <w:rFonts w:ascii="Century Gothic" w:hAnsi="Century Gothic"/>
        </w:rPr>
      </w:pPr>
      <w:r w:rsidRPr="001A3366">
        <w:rPr>
          <w:rFonts w:ascii="Century Gothic" w:hAnsi="Century Gothic"/>
        </w:rPr>
        <w:t>Evite o uso do mesmo espaço para atividades comerciais ou que gerem receita alheia ao culto. Se houver, por exemplo, uma livraria ou café no local, essas atividades devem ser segregadas em termos de espaço e contabilidade, e a Receita pode questionar a imunidade da receita dessas vendas (embora a imunidade do espaço físico permaneça). O ideal é manter a pureza do uso.</w:t>
      </w:r>
    </w:p>
    <w:p w14:paraId="3415D6A7" w14:textId="77777777" w:rsidR="001A3366" w:rsidRPr="001A3366" w:rsidRDefault="001A3366" w:rsidP="001A3366">
      <w:pPr>
        <w:numPr>
          <w:ilvl w:val="0"/>
          <w:numId w:val="10"/>
        </w:numPr>
        <w:jc w:val="both"/>
        <w:rPr>
          <w:rFonts w:ascii="Century Gothic" w:hAnsi="Century Gothic"/>
        </w:rPr>
      </w:pPr>
      <w:r w:rsidRPr="001A3366">
        <w:rPr>
          <w:rFonts w:ascii="Century Gothic" w:hAnsi="Century Gothic"/>
          <w:b/>
          <w:bCs/>
        </w:rPr>
        <w:t>Inexistência de Renda:</w:t>
      </w:r>
    </w:p>
    <w:p w14:paraId="44D89F68" w14:textId="77777777" w:rsidR="001A3366" w:rsidRPr="001A3366" w:rsidRDefault="001A3366" w:rsidP="001A3366">
      <w:pPr>
        <w:numPr>
          <w:ilvl w:val="1"/>
          <w:numId w:val="16"/>
        </w:numPr>
        <w:jc w:val="both"/>
        <w:rPr>
          <w:rFonts w:ascii="Century Gothic" w:hAnsi="Century Gothic"/>
        </w:rPr>
      </w:pPr>
      <w:r w:rsidRPr="001A3366">
        <w:rPr>
          <w:rFonts w:ascii="Century Gothic" w:hAnsi="Century Gothic"/>
        </w:rPr>
        <w:t>Como o imóvel é usado diretamente para o culto, não há renda de aluguel. Isso afasta completamente a necessidade de aplicar a Súmula 724 do STF ou de discutir o destino da renda, simplificando a defesa da imunidade perante o IBS/CBS.</w:t>
      </w:r>
    </w:p>
    <w:p w14:paraId="45683159" w14:textId="77777777" w:rsidR="001A3366" w:rsidRPr="001A3366" w:rsidRDefault="001A3366" w:rsidP="001A3366">
      <w:pPr>
        <w:numPr>
          <w:ilvl w:val="0"/>
          <w:numId w:val="10"/>
        </w:numPr>
        <w:jc w:val="both"/>
        <w:rPr>
          <w:rFonts w:ascii="Century Gothic" w:hAnsi="Century Gothic"/>
        </w:rPr>
      </w:pPr>
      <w:r w:rsidRPr="001A3366">
        <w:rPr>
          <w:rFonts w:ascii="Century Gothic" w:hAnsi="Century Gothic"/>
          <w:b/>
          <w:bCs/>
        </w:rPr>
        <w:t>Afixação Visível da Imunidade:</w:t>
      </w:r>
    </w:p>
    <w:p w14:paraId="4939F1A2" w14:textId="77777777" w:rsidR="001A3366" w:rsidRPr="001A3366" w:rsidRDefault="001A3366" w:rsidP="001A3366">
      <w:pPr>
        <w:numPr>
          <w:ilvl w:val="1"/>
          <w:numId w:val="17"/>
        </w:numPr>
        <w:jc w:val="both"/>
        <w:rPr>
          <w:rFonts w:ascii="Century Gothic" w:hAnsi="Century Gothic"/>
        </w:rPr>
      </w:pPr>
      <w:r w:rsidRPr="001A3366">
        <w:rPr>
          <w:rFonts w:ascii="Century Gothic" w:hAnsi="Century Gothic"/>
        </w:rPr>
        <w:t>Embora não seja uma exigência legal, é uma boa prática afixar em local visível (</w:t>
      </w:r>
      <w:proofErr w:type="spellStart"/>
      <w:r w:rsidRPr="001A3366">
        <w:rPr>
          <w:rFonts w:ascii="Century Gothic" w:hAnsi="Century Gothic"/>
        </w:rPr>
        <w:t>ex</w:t>
      </w:r>
      <w:proofErr w:type="spellEnd"/>
      <w:r w:rsidRPr="001A3366">
        <w:rPr>
          <w:rFonts w:ascii="Century Gothic" w:hAnsi="Century Gothic"/>
        </w:rPr>
        <w:t>: no mural da secretaria ou na entrada) um aviso que informe: </w:t>
      </w:r>
      <w:r w:rsidRPr="001A3366">
        <w:rPr>
          <w:rFonts w:ascii="Century Gothic" w:hAnsi="Century Gothic"/>
          <w:b/>
          <w:bCs/>
        </w:rPr>
        <w:t>"Imóvel Imune ao IPTU e demais Impostos, conforme Art. 150, VI, 'b', da Constituição Federal de 1988."</w:t>
      </w:r>
      <w:r w:rsidRPr="001A3366">
        <w:rPr>
          <w:rFonts w:ascii="Century Gothic" w:hAnsi="Century Gothic"/>
        </w:rPr>
        <w:t> Isso demonstra transparência e conhecimento do direito.</w:t>
      </w:r>
    </w:p>
    <w:p w14:paraId="4EF7A692" w14:textId="77777777" w:rsidR="001A3366" w:rsidRPr="001A3366" w:rsidRDefault="001A3366" w:rsidP="001A3366">
      <w:pPr>
        <w:jc w:val="both"/>
        <w:rPr>
          <w:rFonts w:ascii="Century Gothic" w:hAnsi="Century Gothic"/>
        </w:rPr>
      </w:pPr>
      <w:r w:rsidRPr="001A3366">
        <w:rPr>
          <w:rFonts w:ascii="Century Gothic" w:hAnsi="Century Gothic"/>
        </w:rPr>
        <w:t>Em resumo, para os templos, a ação mais importante é garantir que a documentação (Registro de Imóveis, CNPJ e Cadastro Municipal) esteja </w:t>
      </w:r>
      <w:r w:rsidRPr="001A3366">
        <w:rPr>
          <w:rFonts w:ascii="Century Gothic" w:hAnsi="Century Gothic"/>
          <w:b/>
          <w:bCs/>
        </w:rPr>
        <w:t>impecável e consistente</w:t>
      </w:r>
      <w:r w:rsidRPr="001A3366">
        <w:rPr>
          <w:rFonts w:ascii="Century Gothic" w:hAnsi="Century Gothic"/>
        </w:rPr>
        <w:t> com o uso real do imóvel.</w:t>
      </w:r>
    </w:p>
    <w:p w14:paraId="0C06A182" w14:textId="77777777" w:rsidR="001A3366" w:rsidRPr="006C35C6" w:rsidRDefault="001A3366" w:rsidP="00BE2F4D">
      <w:pPr>
        <w:jc w:val="both"/>
        <w:rPr>
          <w:rFonts w:ascii="Century Gothic" w:hAnsi="Century Gothic"/>
        </w:rPr>
      </w:pPr>
    </w:p>
    <w:sectPr w:rsidR="001A3366" w:rsidRPr="006C35C6" w:rsidSect="001A3366">
      <w:headerReference w:type="default" r:id="rId7"/>
      <w:footerReference w:type="default" r:id="rId8"/>
      <w:pgSz w:w="11906" w:h="16838"/>
      <w:pgMar w:top="1417" w:right="1701" w:bottom="1417" w:left="1701"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34BF6" w14:textId="77777777" w:rsidR="003208DA" w:rsidRDefault="003208DA" w:rsidP="001A3366">
      <w:pPr>
        <w:spacing w:after="0" w:line="240" w:lineRule="auto"/>
      </w:pPr>
      <w:r>
        <w:separator/>
      </w:r>
    </w:p>
  </w:endnote>
  <w:endnote w:type="continuationSeparator" w:id="0">
    <w:p w14:paraId="56F42E90" w14:textId="77777777" w:rsidR="003208DA" w:rsidRDefault="003208DA" w:rsidP="001A3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A66CD" w14:textId="64A83749" w:rsidR="001A3366" w:rsidRDefault="001A3366">
    <w:pPr>
      <w:pStyle w:val="Rodap"/>
    </w:pPr>
    <w:r>
      <w:rPr>
        <w:noProof/>
        <w:color w:val="808080" w:themeColor="background1" w:themeShade="80"/>
        <w:lang w:eastAsia="pt-BR"/>
      </w:rPr>
      <mc:AlternateContent>
        <mc:Choice Requires="wps">
          <w:drawing>
            <wp:anchor distT="0" distB="0" distL="182880" distR="182880" simplePos="0" relativeHeight="251663360" behindDoc="0" locked="0" layoutInCell="1" allowOverlap="1" wp14:anchorId="26A57B3D" wp14:editId="2164B8D9">
              <wp:simplePos x="0" y="0"/>
              <wp:positionH relativeFrom="rightMargin">
                <wp:posOffset>407521</wp:posOffset>
              </wp:positionH>
              <wp:positionV relativeFrom="page">
                <wp:posOffset>9921576</wp:posOffset>
              </wp:positionV>
              <wp:extent cx="457200" cy="320634"/>
              <wp:effectExtent l="0" t="0" r="0" b="3810"/>
              <wp:wrapNone/>
              <wp:docPr id="41" name="Retângulo 41"/>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989C2D" w14:textId="77777777" w:rsidR="001A3366" w:rsidRDefault="001A3366" w:rsidP="001A3366">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noProof/>
                              <w:color w:val="FFFFFF" w:themeColor="background1"/>
                              <w:sz w:val="28"/>
                              <w:szCs w:val="28"/>
                            </w:rPr>
                            <w:t>3</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26A57B3D" id="Retângulo 41" o:spid="_x0000_s1029" style="position:absolute;margin-left:32.1pt;margin-top:781.25pt;width:36pt;height:25.25pt;z-index:251663360;visibility:visible;mso-wrap-style:square;mso-wrap-distance-left:14.4pt;mso-wrap-distance-top:0;mso-wrap-distance-right:14.4pt;mso-wrap-distance-bottom:0;mso-position-horizontal:absolute;mso-position-horizontal-relative:right-margin-area;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Mhhig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" fillcolor="black [3213]" stroked="f" strokeweight="3pt">
              <v:textbox>
                <w:txbxContent>
                  <w:p w14:paraId="45989C2D" w14:textId="77777777" w:rsidR="001A3366" w:rsidRDefault="001A3366" w:rsidP="001A3366">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noProof/>
                        <w:color w:val="FFFFFF" w:themeColor="background1"/>
                        <w:sz w:val="28"/>
                        <w:szCs w:val="28"/>
                      </w:rPr>
                      <w:t>3</w:t>
                    </w:r>
                    <w:r>
                      <w:rPr>
                        <w:color w:val="FFFFFF" w:themeColor="background1"/>
                        <w:sz w:val="28"/>
                        <w:szCs w:val="28"/>
                      </w:rPr>
                      <w:fldChar w:fldCharType="end"/>
                    </w:r>
                  </w:p>
                </w:txbxContent>
              </v:textbox>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CE681" w14:textId="77777777" w:rsidR="003208DA" w:rsidRDefault="003208DA" w:rsidP="001A3366">
      <w:pPr>
        <w:spacing w:after="0" w:line="240" w:lineRule="auto"/>
      </w:pPr>
      <w:r>
        <w:separator/>
      </w:r>
    </w:p>
  </w:footnote>
  <w:footnote w:type="continuationSeparator" w:id="0">
    <w:p w14:paraId="34BCC21D" w14:textId="77777777" w:rsidR="003208DA" w:rsidRDefault="003208DA" w:rsidP="001A33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3EDC9" w14:textId="77777777" w:rsidR="001A3366" w:rsidRDefault="001A3366" w:rsidP="001A3366">
    <w:r w:rsidRPr="00F536FB">
      <w:rPr>
        <w:rFonts w:ascii="Garamond" w:hAnsi="Garamond"/>
        <w:b/>
        <w:i/>
        <w:noProof/>
        <w:sz w:val="16"/>
      </w:rPr>
      <w:drawing>
        <wp:anchor distT="0" distB="0" distL="114300" distR="114300" simplePos="0" relativeHeight="251660288" behindDoc="0" locked="0" layoutInCell="1" allowOverlap="1" wp14:anchorId="7C2F9FA2" wp14:editId="4A0C0735">
          <wp:simplePos x="0" y="0"/>
          <wp:positionH relativeFrom="margin">
            <wp:posOffset>4547870</wp:posOffset>
          </wp:positionH>
          <wp:positionV relativeFrom="paragraph">
            <wp:posOffset>3482</wp:posOffset>
          </wp:positionV>
          <wp:extent cx="1400175" cy="782955"/>
          <wp:effectExtent l="0" t="0" r="9525" b="0"/>
          <wp:wrapThrough wrapText="bothSides">
            <wp:wrapPolygon edited="0">
              <wp:start x="10873" y="0"/>
              <wp:lineTo x="8522" y="3679"/>
              <wp:lineTo x="6465" y="7883"/>
              <wp:lineTo x="6171" y="9985"/>
              <wp:lineTo x="0" y="17869"/>
              <wp:lineTo x="0" y="18394"/>
              <wp:lineTo x="2939" y="21022"/>
              <wp:lineTo x="16457" y="21022"/>
              <wp:lineTo x="16751" y="20496"/>
              <wp:lineTo x="21453" y="17869"/>
              <wp:lineTo x="18220" y="9460"/>
              <wp:lineTo x="18514" y="6307"/>
              <wp:lineTo x="16163" y="2628"/>
              <wp:lineTo x="12637" y="0"/>
              <wp:lineTo x="10873" y="0"/>
            </wp:wrapPolygon>
          </wp:wrapThrough>
          <wp:docPr id="1687804138" name="Imagem 1687804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m 25"/>
                  <pic:cNvPicPr/>
                </pic:nvPicPr>
                <pic:blipFill>
                  <a:blip r:embed="rId1">
                    <a:extLst>
                      <a:ext uri="{28A0092B-C50C-407E-A947-70E740481C1C}">
                        <a14:useLocalDpi xmlns:a14="http://schemas.microsoft.com/office/drawing/2010/main" val="0"/>
                      </a:ext>
                    </a:extLst>
                  </a:blip>
                  <a:stretch>
                    <a:fillRect/>
                  </a:stretch>
                </pic:blipFill>
                <pic:spPr>
                  <a:xfrm>
                    <a:off x="0" y="0"/>
                    <a:ext cx="1400175" cy="782955"/>
                  </a:xfrm>
                  <a:prstGeom prst="rect">
                    <a:avLst/>
                  </a:prstGeom>
                </pic:spPr>
              </pic:pic>
            </a:graphicData>
          </a:graphic>
          <wp14:sizeRelH relativeFrom="page">
            <wp14:pctWidth>0</wp14:pctWidth>
          </wp14:sizeRelH>
          <wp14:sizeRelV relativeFrom="page">
            <wp14:pctHeight>0</wp14:pctHeight>
          </wp14:sizeRelV>
        </wp:anchor>
      </w:drawing>
    </w:r>
    <w:r w:rsidRPr="00F536FB">
      <w:rPr>
        <w:rFonts w:ascii="Garamond" w:hAnsi="Garamond"/>
        <w:b/>
        <w:i/>
        <w:noProof/>
        <w:sz w:val="16"/>
      </w:rPr>
      <w:drawing>
        <wp:anchor distT="0" distB="0" distL="114300" distR="114300" simplePos="0" relativeHeight="251659264" behindDoc="0" locked="0" layoutInCell="0" allowOverlap="1" wp14:anchorId="4A7D51BF" wp14:editId="44B5EFE4">
          <wp:simplePos x="0" y="0"/>
          <wp:positionH relativeFrom="margin">
            <wp:posOffset>-23598</wp:posOffset>
          </wp:positionH>
          <wp:positionV relativeFrom="paragraph">
            <wp:posOffset>152113</wp:posOffset>
          </wp:positionV>
          <wp:extent cx="1042035" cy="691515"/>
          <wp:effectExtent l="0" t="0" r="5715" b="0"/>
          <wp:wrapThrough wrapText="bothSides">
            <wp:wrapPolygon edited="0">
              <wp:start x="5923" y="0"/>
              <wp:lineTo x="5528" y="595"/>
              <wp:lineTo x="5133" y="9521"/>
              <wp:lineTo x="1580" y="13091"/>
              <wp:lineTo x="0" y="16066"/>
              <wp:lineTo x="0" y="19041"/>
              <wp:lineTo x="790" y="20826"/>
              <wp:lineTo x="21324" y="20826"/>
              <wp:lineTo x="21324" y="16066"/>
              <wp:lineTo x="19744" y="13091"/>
              <wp:lineTo x="16190" y="8331"/>
              <wp:lineTo x="15795" y="1190"/>
              <wp:lineTo x="15400" y="0"/>
              <wp:lineTo x="5923" y="0"/>
            </wp:wrapPolygon>
          </wp:wrapThrough>
          <wp:docPr id="930890464" name="Imagem 930890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42035" cy="691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C365B3" w14:textId="4238AD73" w:rsidR="001A3366" w:rsidRPr="001A3366" w:rsidRDefault="001A3366" w:rsidP="001A3366">
    <w:pPr>
      <w:pStyle w:val="Cabealho"/>
      <w:jc w:val="center"/>
      <w:rPr>
        <w:rFonts w:ascii="Arial Rounded MT Bold" w:hAnsi="Arial Rounded MT Bold"/>
        <w:sz w:val="26"/>
        <w:szCs w:val="26"/>
      </w:rPr>
    </w:pPr>
    <w:r w:rsidRPr="001A3366">
      <w:rPr>
        <w:rFonts w:ascii="Arial Rounded MT Bold" w:hAnsi="Arial Rounded MT Bold"/>
        <w:sz w:val="26"/>
        <w:szCs w:val="26"/>
      </w:rPr>
      <w:t xml:space="preserve">DEPARTAMENTO DE GESTÃO IMOBILÍARIA QUADRANGULAR </w:t>
    </w:r>
    <w:r w:rsidRPr="001A3366">
      <w:rPr>
        <w:rFonts w:ascii="Arial Rounded MT Bold" w:hAnsi="Arial Rounded MT Bold"/>
        <w:sz w:val="26"/>
        <w:szCs w:val="26"/>
      </w:rPr>
      <w:t>–</w:t>
    </w:r>
    <w:r w:rsidRPr="001A3366">
      <w:rPr>
        <w:rFonts w:ascii="Arial Rounded MT Bold" w:hAnsi="Arial Rounded MT Bold"/>
        <w:sz w:val="26"/>
        <w:szCs w:val="26"/>
      </w:rPr>
      <w:t xml:space="preserve"> DGIQ</w:t>
    </w:r>
  </w:p>
  <w:p w14:paraId="561D817B" w14:textId="61C52EFB" w:rsidR="001A3366" w:rsidRPr="001A3366" w:rsidRDefault="001A3366" w:rsidP="001A3366">
    <w:pPr>
      <w:pStyle w:val="Cabealho"/>
      <w:jc w:val="center"/>
      <w:rPr>
        <w:rFonts w:ascii="Century Gothic" w:hAnsi="Century Gothic"/>
        <w:b/>
        <w:iCs/>
        <w:sz w:val="28"/>
        <w:szCs w:val="28"/>
      </w:rPr>
    </w:pPr>
    <w:r w:rsidRPr="00281A2D">
      <w:rPr>
        <w:noProof/>
        <w:color w:val="808080" w:themeColor="background1" w:themeShade="80"/>
        <w:sz w:val="16"/>
        <w:szCs w:val="16"/>
        <w:lang w:eastAsia="pt-BR"/>
      </w:rPr>
      <mc:AlternateContent>
        <mc:Choice Requires="wpg">
          <w:drawing>
            <wp:anchor distT="0" distB="0" distL="182880" distR="182880" simplePos="0" relativeHeight="251662336" behindDoc="1" locked="0" layoutInCell="1" allowOverlap="1" wp14:anchorId="527F9229" wp14:editId="35795F94">
              <wp:simplePos x="0" y="0"/>
              <wp:positionH relativeFrom="rightMargin">
                <wp:posOffset>407521</wp:posOffset>
              </wp:positionH>
              <wp:positionV relativeFrom="page">
                <wp:posOffset>1604981</wp:posOffset>
              </wp:positionV>
              <wp:extent cx="457200" cy="8369935"/>
              <wp:effectExtent l="0" t="0" r="0" b="0"/>
              <wp:wrapNone/>
              <wp:docPr id="42" name="Grupo 42"/>
              <wp:cNvGraphicFramePr/>
              <a:graphic xmlns:a="http://schemas.openxmlformats.org/drawingml/2006/main">
                <a:graphicData uri="http://schemas.microsoft.com/office/word/2010/wordprocessingGroup">
                  <wpg:wgp>
                    <wpg:cNvGrpSpPr/>
                    <wpg:grpSpPr>
                      <a:xfrm>
                        <a:off x="0" y="0"/>
                        <a:ext cx="457200" cy="8369935"/>
                        <a:chOff x="0" y="0"/>
                        <a:chExt cx="457200" cy="8229600"/>
                      </a:xfrm>
                    </wpg:grpSpPr>
                    <wps:wsp>
                      <wps:cNvPr id="43" name="Retângulo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Caixa de Texto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a"/>
                              <w:tag w:val=""/>
                              <w:id w:val="1209301394"/>
                              <w:showingPlcHdr/>
                              <w:dataBinding w:prefixMappings="xmlns:ns0='http://schemas.microsoft.com/office/2006/coverPageProps' " w:xpath="/ns0:CoverPageProperties[1]/ns0:PublishDate[1]" w:storeItemID="{55AF091B-3C7A-41E3-B477-F2FDAA23CFDA}"/>
                              <w:date>
                                <w:dateFormat w:val="d/M/yyyy"/>
                                <w:lid w:val="pt-BR"/>
                                <w:storeMappedDataAs w:val="dateTime"/>
                                <w:calendar w:val="gregorian"/>
                              </w:date>
                            </w:sdtPr>
                            <w:sdtContent>
                              <w:p w14:paraId="0933C144" w14:textId="77777777" w:rsidR="001A3366" w:rsidRDefault="001A3366" w:rsidP="001A3366">
                                <w:pPr>
                                  <w:rPr>
                                    <w:color w:val="7F7F7F" w:themeColor="text1" w:themeTint="80"/>
                                  </w:rPr>
                                </w:pPr>
                                <w:r>
                                  <w:rPr>
                                    <w:color w:val="7F7F7F" w:themeColor="text1" w:themeTint="80"/>
                                  </w:rPr>
                                  <w:t>[Data]</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0</wp14:pctHeight>
              </wp14:sizeRelV>
            </wp:anchor>
          </w:drawing>
        </mc:Choice>
        <mc:Fallback>
          <w:pict>
            <v:group w14:anchorId="527F9229" id="Grupo 42" o:spid="_x0000_s1026" style="position:absolute;left:0;text-align:left;margin-left:32.1pt;margin-top:126.4pt;width:36pt;height:659.05pt;z-index:-251654144;mso-wrap-distance-left:14.4pt;mso-wrap-distance-right:14.4pt;mso-position-horizontal-relative:right-margin-area;mso-position-vertical-relative:page"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">
              <v:rect id="Retângulo 43" o:spid="_x0000_s1027"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Caixa de Texto 44" o:spid="_x0000_s1028"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sdt>
                      <w:sdtPr>
                        <w:rPr>
                          <w:color w:val="7F7F7F" w:themeColor="text1" w:themeTint="80"/>
                        </w:rPr>
                        <w:alias w:val="Data"/>
                        <w:tag w:val=""/>
                        <w:id w:val="1209301394"/>
                        <w:showingPlcHdr/>
                        <w:dataBinding w:prefixMappings="xmlns:ns0='http://schemas.microsoft.com/office/2006/coverPageProps' " w:xpath="/ns0:CoverPageProperties[1]/ns0:PublishDate[1]" w:storeItemID="{55AF091B-3C7A-41E3-B477-F2FDAA23CFDA}"/>
                        <w:date>
                          <w:dateFormat w:val="d/M/yyyy"/>
                          <w:lid w:val="pt-BR"/>
                          <w:storeMappedDataAs w:val="dateTime"/>
                          <w:calendar w:val="gregorian"/>
                        </w:date>
                      </w:sdtPr>
                      <w:sdtContent>
                        <w:p w14:paraId="0933C144" w14:textId="77777777" w:rsidR="001A3366" w:rsidRDefault="001A3366" w:rsidP="001A3366">
                          <w:pPr>
                            <w:rPr>
                              <w:color w:val="7F7F7F" w:themeColor="text1" w:themeTint="80"/>
                            </w:rPr>
                          </w:pPr>
                          <w:r>
                            <w:rPr>
                              <w:color w:val="7F7F7F" w:themeColor="text1" w:themeTint="80"/>
                            </w:rPr>
                            <w:t>[Data]</w:t>
                          </w:r>
                        </w:p>
                      </w:sdtContent>
                    </w:sdt>
                  </w:txbxContent>
                </v:textbox>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865A8"/>
    <w:multiLevelType w:val="multilevel"/>
    <w:tmpl w:val="6DF614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25646E"/>
    <w:multiLevelType w:val="multilevel"/>
    <w:tmpl w:val="1316B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634D4F"/>
    <w:multiLevelType w:val="multilevel"/>
    <w:tmpl w:val="13DA1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B141BC3"/>
    <w:multiLevelType w:val="multilevel"/>
    <w:tmpl w:val="9DB6D3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C2750B5"/>
    <w:multiLevelType w:val="multilevel"/>
    <w:tmpl w:val="03484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8F4B88"/>
    <w:multiLevelType w:val="multilevel"/>
    <w:tmpl w:val="A808B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8F2A2C"/>
    <w:multiLevelType w:val="multilevel"/>
    <w:tmpl w:val="1196F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1682237">
    <w:abstractNumId w:val="6"/>
  </w:num>
  <w:num w:numId="2" w16cid:durableId="1910380546">
    <w:abstractNumId w:val="4"/>
  </w:num>
  <w:num w:numId="3" w16cid:durableId="1704937902">
    <w:abstractNumId w:val="2"/>
  </w:num>
  <w:num w:numId="4" w16cid:durableId="1273440629">
    <w:abstractNumId w:val="3"/>
  </w:num>
  <w:num w:numId="5" w16cid:durableId="1522890568">
    <w:abstractNumId w:val="3"/>
    <w:lvlOverride w:ilvl="1">
      <w:lvl w:ilvl="1">
        <w:numFmt w:val="decimal"/>
        <w:lvlText w:val="%2."/>
        <w:lvlJc w:val="left"/>
      </w:lvl>
    </w:lvlOverride>
  </w:num>
  <w:num w:numId="6" w16cid:durableId="1971007376">
    <w:abstractNumId w:val="3"/>
    <w:lvlOverride w:ilvl="1">
      <w:lvl w:ilvl="1">
        <w:numFmt w:val="decimal"/>
        <w:lvlText w:val="%2."/>
        <w:lvlJc w:val="left"/>
      </w:lvl>
    </w:lvlOverride>
  </w:num>
  <w:num w:numId="7" w16cid:durableId="1322464095">
    <w:abstractNumId w:val="3"/>
    <w:lvlOverride w:ilvl="1">
      <w:lvl w:ilvl="1">
        <w:numFmt w:val="decimal"/>
        <w:lvlText w:val="%2."/>
        <w:lvlJc w:val="left"/>
      </w:lvl>
    </w:lvlOverride>
  </w:num>
  <w:num w:numId="8" w16cid:durableId="1538742179">
    <w:abstractNumId w:val="5"/>
  </w:num>
  <w:num w:numId="9" w16cid:durableId="1045180131">
    <w:abstractNumId w:val="1"/>
  </w:num>
  <w:num w:numId="10" w16cid:durableId="2120680125">
    <w:abstractNumId w:val="0"/>
  </w:num>
  <w:num w:numId="11" w16cid:durableId="786654785">
    <w:abstractNumId w:val="0"/>
    <w:lvlOverride w:ilvl="1">
      <w:lvl w:ilvl="1">
        <w:numFmt w:val="decimal"/>
        <w:lvlText w:val="%2."/>
        <w:lvlJc w:val="left"/>
      </w:lvl>
    </w:lvlOverride>
  </w:num>
  <w:num w:numId="12" w16cid:durableId="2129278157">
    <w:abstractNumId w:val="0"/>
    <w:lvlOverride w:ilvl="1">
      <w:lvl w:ilvl="1">
        <w:numFmt w:val="decimal"/>
        <w:lvlText w:val="%2."/>
        <w:lvlJc w:val="left"/>
      </w:lvl>
    </w:lvlOverride>
  </w:num>
  <w:num w:numId="13" w16cid:durableId="338241290">
    <w:abstractNumId w:val="0"/>
    <w:lvlOverride w:ilvl="1">
      <w:lvl w:ilvl="1">
        <w:numFmt w:val="decimal"/>
        <w:lvlText w:val="%2."/>
        <w:lvlJc w:val="left"/>
      </w:lvl>
    </w:lvlOverride>
  </w:num>
  <w:num w:numId="14" w16cid:durableId="556017586">
    <w:abstractNumId w:val="0"/>
    <w:lvlOverride w:ilvl="1">
      <w:lvl w:ilvl="1">
        <w:numFmt w:val="decimal"/>
        <w:lvlText w:val="%2."/>
        <w:lvlJc w:val="left"/>
      </w:lvl>
    </w:lvlOverride>
  </w:num>
  <w:num w:numId="15" w16cid:durableId="1508708430">
    <w:abstractNumId w:val="0"/>
    <w:lvlOverride w:ilvl="1">
      <w:lvl w:ilvl="1">
        <w:numFmt w:val="decimal"/>
        <w:lvlText w:val="%2."/>
        <w:lvlJc w:val="left"/>
      </w:lvl>
    </w:lvlOverride>
  </w:num>
  <w:num w:numId="16" w16cid:durableId="410080655">
    <w:abstractNumId w:val="0"/>
    <w:lvlOverride w:ilvl="1">
      <w:lvl w:ilvl="1">
        <w:numFmt w:val="decimal"/>
        <w:lvlText w:val="%2."/>
        <w:lvlJc w:val="left"/>
      </w:lvl>
    </w:lvlOverride>
  </w:num>
  <w:num w:numId="17" w16cid:durableId="404885305">
    <w:abstractNumId w:val="0"/>
    <w:lvlOverride w:ilvl="1">
      <w:lvl w:ilvl="1">
        <w:numFmt w:val="decimal"/>
        <w:lvlText w:val="%2."/>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5C6"/>
    <w:rsid w:val="001A3366"/>
    <w:rsid w:val="00252C57"/>
    <w:rsid w:val="00273045"/>
    <w:rsid w:val="002C1AF5"/>
    <w:rsid w:val="003208DA"/>
    <w:rsid w:val="003C2342"/>
    <w:rsid w:val="006C35C6"/>
    <w:rsid w:val="00A355D0"/>
    <w:rsid w:val="00A45C44"/>
    <w:rsid w:val="00BE2F4D"/>
    <w:rsid w:val="00C743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52C15"/>
  <w15:chartTrackingRefBased/>
  <w15:docId w15:val="{82B88505-ED45-439F-A234-0615851FC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6C35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6C35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6C35C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6C35C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6C35C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6C35C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6C35C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6C35C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6C35C6"/>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C35C6"/>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6C35C6"/>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6C35C6"/>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6C35C6"/>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6C35C6"/>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6C35C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C35C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C35C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C35C6"/>
    <w:rPr>
      <w:rFonts w:eastAsiaTheme="majorEastAsia" w:cstheme="majorBidi"/>
      <w:color w:val="272727" w:themeColor="text1" w:themeTint="D8"/>
    </w:rPr>
  </w:style>
  <w:style w:type="paragraph" w:styleId="Ttulo">
    <w:name w:val="Title"/>
    <w:basedOn w:val="Normal"/>
    <w:next w:val="Normal"/>
    <w:link w:val="TtuloChar"/>
    <w:uiPriority w:val="10"/>
    <w:qFormat/>
    <w:rsid w:val="006C3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C35C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C35C6"/>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C35C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C35C6"/>
    <w:pPr>
      <w:spacing w:before="160"/>
      <w:jc w:val="center"/>
    </w:pPr>
    <w:rPr>
      <w:i/>
      <w:iCs/>
      <w:color w:val="404040" w:themeColor="text1" w:themeTint="BF"/>
    </w:rPr>
  </w:style>
  <w:style w:type="character" w:customStyle="1" w:styleId="CitaoChar">
    <w:name w:val="Citação Char"/>
    <w:basedOn w:val="Fontepargpadro"/>
    <w:link w:val="Citao"/>
    <w:uiPriority w:val="29"/>
    <w:rsid w:val="006C35C6"/>
    <w:rPr>
      <w:i/>
      <w:iCs/>
      <w:color w:val="404040" w:themeColor="text1" w:themeTint="BF"/>
    </w:rPr>
  </w:style>
  <w:style w:type="paragraph" w:styleId="PargrafodaLista">
    <w:name w:val="List Paragraph"/>
    <w:basedOn w:val="Normal"/>
    <w:uiPriority w:val="34"/>
    <w:qFormat/>
    <w:rsid w:val="006C35C6"/>
    <w:pPr>
      <w:ind w:left="720"/>
      <w:contextualSpacing/>
    </w:pPr>
  </w:style>
  <w:style w:type="character" w:styleId="nfaseIntensa">
    <w:name w:val="Intense Emphasis"/>
    <w:basedOn w:val="Fontepargpadro"/>
    <w:uiPriority w:val="21"/>
    <w:qFormat/>
    <w:rsid w:val="006C35C6"/>
    <w:rPr>
      <w:i/>
      <w:iCs/>
      <w:color w:val="2F5496" w:themeColor="accent1" w:themeShade="BF"/>
    </w:rPr>
  </w:style>
  <w:style w:type="paragraph" w:styleId="CitaoIntensa">
    <w:name w:val="Intense Quote"/>
    <w:basedOn w:val="Normal"/>
    <w:next w:val="Normal"/>
    <w:link w:val="CitaoIntensaChar"/>
    <w:uiPriority w:val="30"/>
    <w:qFormat/>
    <w:rsid w:val="006C35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6C35C6"/>
    <w:rPr>
      <w:i/>
      <w:iCs/>
      <w:color w:val="2F5496" w:themeColor="accent1" w:themeShade="BF"/>
    </w:rPr>
  </w:style>
  <w:style w:type="character" w:styleId="RefernciaIntensa">
    <w:name w:val="Intense Reference"/>
    <w:basedOn w:val="Fontepargpadro"/>
    <w:uiPriority w:val="32"/>
    <w:qFormat/>
    <w:rsid w:val="006C35C6"/>
    <w:rPr>
      <w:b/>
      <w:bCs/>
      <w:smallCaps/>
      <w:color w:val="2F5496" w:themeColor="accent1" w:themeShade="BF"/>
      <w:spacing w:val="5"/>
    </w:rPr>
  </w:style>
  <w:style w:type="paragraph" w:styleId="SemEspaamento">
    <w:name w:val="No Spacing"/>
    <w:uiPriority w:val="1"/>
    <w:qFormat/>
    <w:rsid w:val="006C35C6"/>
    <w:pPr>
      <w:spacing w:after="0" w:line="240" w:lineRule="auto"/>
    </w:pPr>
  </w:style>
  <w:style w:type="paragraph" w:styleId="Cabealho">
    <w:name w:val="header"/>
    <w:basedOn w:val="Normal"/>
    <w:link w:val="CabealhoChar"/>
    <w:uiPriority w:val="99"/>
    <w:unhideWhenUsed/>
    <w:rsid w:val="001A336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A3366"/>
  </w:style>
  <w:style w:type="paragraph" w:styleId="Rodap">
    <w:name w:val="footer"/>
    <w:basedOn w:val="Normal"/>
    <w:link w:val="RodapChar"/>
    <w:uiPriority w:val="99"/>
    <w:unhideWhenUsed/>
    <w:rsid w:val="001A3366"/>
    <w:pPr>
      <w:tabs>
        <w:tab w:val="center" w:pos="4252"/>
        <w:tab w:val="right" w:pos="8504"/>
      </w:tabs>
      <w:spacing w:after="0" w:line="240" w:lineRule="auto"/>
    </w:pPr>
  </w:style>
  <w:style w:type="character" w:customStyle="1" w:styleId="RodapChar">
    <w:name w:val="Rodapé Char"/>
    <w:basedOn w:val="Fontepargpadro"/>
    <w:link w:val="Rodap"/>
    <w:uiPriority w:val="99"/>
    <w:rsid w:val="001A33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2559</Words>
  <Characters>13822</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Wellington</dc:creator>
  <cp:keywords/>
  <dc:description/>
  <cp:lastModifiedBy>Wellington</cp:lastModifiedBy>
  <cp:revision>2</cp:revision>
  <cp:lastPrinted>2025-12-16T15:47:00Z</cp:lastPrinted>
  <dcterms:created xsi:type="dcterms:W3CDTF">2025-12-16T15:47:00Z</dcterms:created>
  <dcterms:modified xsi:type="dcterms:W3CDTF">2025-12-16T15:47:00Z</dcterms:modified>
</cp:coreProperties>
</file>